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2690" w14:textId="5DE8D265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350A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B366D9E" wp14:editId="52183691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403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Decreto Supremo </w:t>
      </w:r>
      <w:proofErr w:type="spellStart"/>
      <w:r w:rsidRPr="004403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Nº</w:t>
      </w:r>
      <w:proofErr w:type="spellEnd"/>
      <w:r w:rsidRPr="004403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29851. Plan Nacional de Acción de Derechos Humanos – Bolivia Para Vivir Bien 2009 – 2013 (10/12/2008)</w:t>
      </w:r>
    </w:p>
    <w:p w14:paraId="73F7A790" w14:textId="49D06A20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>Compromisos</w:t>
      </w:r>
    </w:p>
    <w:p w14:paraId="7EE442A9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>Hasta el año 2010, la Asamblea Plurinacional de Bolivia, el Ministerio de Justicia, Viceministerio de Género y Asuntos Generacionales, tenían que elaborar un anteproyecto de Ley de Unión Conyugal que tengan por objeto regular y reconocer los derechos de las personas con diferente orientación sexual e identidad de género, asegurando a esta población el derecho de sucesión de patrimonio, relaciones personales y otros aspectos.</w:t>
      </w:r>
    </w:p>
    <w:p w14:paraId="15DE3745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>Hasta el año 2010, el Ministerio de justicia, Defensor del Pueblo, Gobiernos Municipales y Gobernaciones tenían que promover los Principios de Yogyakarta, como principios estatales sobre cómo se aplican los estándares y legislación internacional de derechos humanos a las cuestiones de orientación sexual e identidad de género para los bolivianos y bolivianas. </w:t>
      </w:r>
    </w:p>
    <w:p w14:paraId="08FB1EDF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>Hasta el año 2009, la Asamblea Plurinacional de Bolivia, el Ministerio de Justicia y el Defensor del Pueblo, tenían que elaborar políticas públicas que contribuyan al respeto de la población GLBT y prohíban y sancionen la discriminación a esta población.</w:t>
      </w:r>
    </w:p>
    <w:p w14:paraId="24DC0B75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>En este objetivo, estos órganos se fijaron la tarea de elaborar y aprobar un Proyecto de Ley contra la Discriminación que a la población GLBT.</w:t>
      </w:r>
    </w:p>
    <w:p w14:paraId="28B0550E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 xml:space="preserve">Se determina que hasta el año 2011, el Ministerio de Justicia y el Ministerio de Salud, deben reformar el Decreto Supremo </w:t>
      </w:r>
      <w:proofErr w:type="spellStart"/>
      <w:r w:rsidRPr="00440323">
        <w:rPr>
          <w:rFonts w:asciiTheme="minorHAnsi" w:hAnsiTheme="minorHAnsi" w:cstheme="minorHAnsi"/>
          <w:color w:val="000000"/>
          <w:sz w:val="22"/>
          <w:szCs w:val="22"/>
        </w:rPr>
        <w:t>N°</w:t>
      </w:r>
      <w:proofErr w:type="spellEnd"/>
      <w:r w:rsidRPr="00440323">
        <w:rPr>
          <w:rFonts w:asciiTheme="minorHAnsi" w:hAnsiTheme="minorHAnsi" w:cstheme="minorHAnsi"/>
          <w:color w:val="000000"/>
          <w:sz w:val="22"/>
          <w:szCs w:val="22"/>
        </w:rPr>
        <w:t xml:space="preserve"> 24547 del 31 de marzo de 1997, que reglamenta la Ley </w:t>
      </w:r>
      <w:proofErr w:type="spellStart"/>
      <w:r w:rsidRPr="00440323">
        <w:rPr>
          <w:rFonts w:asciiTheme="minorHAnsi" w:hAnsiTheme="minorHAnsi" w:cstheme="minorHAnsi"/>
          <w:color w:val="000000"/>
          <w:sz w:val="22"/>
          <w:szCs w:val="22"/>
        </w:rPr>
        <w:t>N°</w:t>
      </w:r>
      <w:proofErr w:type="spellEnd"/>
      <w:r w:rsidRPr="00440323">
        <w:rPr>
          <w:rFonts w:asciiTheme="minorHAnsi" w:hAnsiTheme="minorHAnsi" w:cstheme="minorHAnsi"/>
          <w:color w:val="000000"/>
          <w:sz w:val="22"/>
          <w:szCs w:val="22"/>
        </w:rPr>
        <w:t xml:space="preserve"> 1687 de la Medicina Transfusional y Bancos de Sangre de 26 de marzo de 1996 donde se prohíbe a las personas GLBT donar Sangre, por ser personas consideradas dentro de los grupos de alto riesgo para el Síndrome de Inmunodeficiencia Adquirida (SIDA) los Homosexuales o bisexuales promiscuos.</w:t>
      </w:r>
    </w:p>
    <w:p w14:paraId="0FBBD3DA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>Entre el año 2010 y 2012, se estableció que la Asamblea Plurinacional de Bolivia, el Ministerio de Trabajo y el Defensor del Pueblo deben trabajar en la reforma a la actual Ley General del Trabajo, estableciendo la prohibición de discriminación por orientación sexual o identidad de género.</w:t>
      </w:r>
    </w:p>
    <w:p w14:paraId="33BB1CE6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>Para el año 2009, diferentes órganos del Estado boliviano, se trazaron la tarea de crear y desarrollar el Programa “Bolivia Libre de Homofobia y Transfobia” en las tres esferas de Gobierno Estatal (Ejecutivo, Legislativo y Judicial), así como en Gobernaciones y Municipios.</w:t>
      </w:r>
    </w:p>
    <w:p w14:paraId="2C508111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>Para el año 2011, el Defensor del Pueblo, el Instituto Nacional de Estadísticas y la Policía Nacional se han fijado la tarea de elaborar una base de datos con información estadística sobre los tipos de crímenes de homofobia y transfobia practicados en Bolivia.</w:t>
      </w:r>
    </w:p>
    <w:p w14:paraId="27743707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>Para el año 2010, el Ministerio de Relaciones Exteriores, el Ministerio de Justicia y el Defensor del Pueblo, se propusieron trabajar conjuntamente  promover a través de la Cancillería de Bolivia  u  otra  instancia  gubernamental,  el  apoyo  y  defensa  a   la  inserción  de  la  no discriminación por orientación sexual y/o identidad de género en la promoción, ratificación y revisión de Acuerdos, Convenciones y Protocolos Internacionales y otros instrumentos en derechos humanos promovidos dentro de la ONU, OEA, MERCOSUR.</w:t>
      </w:r>
    </w:p>
    <w:p w14:paraId="306FD6D2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 xml:space="preserve">Para el año 2011, el Ministerio de Gobierno, Fuerza Armadas, Policía Nacional y Defensor del Pueblo, se propusieron reformar y apoyar el acceso a la formación académica e instrucción dentro de las academias, colegios, escuelas, regimientos, cuarteles, servicio premilitar y programas </w:t>
      </w:r>
      <w:r w:rsidRPr="00440323">
        <w:rPr>
          <w:rFonts w:asciiTheme="minorHAnsi" w:hAnsiTheme="minorHAnsi" w:cstheme="minorHAnsi"/>
          <w:color w:val="000000"/>
          <w:sz w:val="22"/>
          <w:szCs w:val="22"/>
        </w:rPr>
        <w:lastRenderedPageBreak/>
        <w:t>especiales de las Fuerzas Armadas y la Policía Nacional, de la población GLBT de Bolivia, evitando toda forma de discriminación, estigma e intimidación por la orientación sexual y/o identidad de género.</w:t>
      </w:r>
    </w:p>
    <w:p w14:paraId="4D90F082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 xml:space="preserve">Hasta el año 2010, el Ministerio de Trabajo y el Defensor del Pueblo, tenían que elaborar directrices que orienten los sistemas de enseñanza en la formulación y en la implementación de acciones que promuevan el respeto y el reconocimiento de las personas por su orientación sexual e identidad de género y que colaboren con la prevención y la eliminación de la violencia sexista, homofóbica y </w:t>
      </w:r>
      <w:proofErr w:type="spellStart"/>
      <w:r w:rsidRPr="00440323">
        <w:rPr>
          <w:rFonts w:asciiTheme="minorHAnsi" w:hAnsiTheme="minorHAnsi" w:cstheme="minorHAnsi"/>
          <w:color w:val="000000"/>
          <w:sz w:val="22"/>
          <w:szCs w:val="22"/>
        </w:rPr>
        <w:t>transfóbica</w:t>
      </w:r>
      <w:proofErr w:type="spellEnd"/>
      <w:r w:rsidRPr="00440323">
        <w:rPr>
          <w:rFonts w:asciiTheme="minorHAnsi" w:hAnsiTheme="minorHAnsi" w:cstheme="minorHAnsi"/>
          <w:color w:val="000000"/>
          <w:sz w:val="22"/>
          <w:szCs w:val="22"/>
        </w:rPr>
        <w:t xml:space="preserve"> hacía estudiantes GLBT.</w:t>
      </w:r>
    </w:p>
    <w:p w14:paraId="4C678A3C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 xml:space="preserve">Para el año 2013, el Ministerio de Justicia y el Congreso Nacional se han establecido la meta de evitar utilizar en normas nacionales e internacionales </w:t>
      </w:r>
      <w:proofErr w:type="gramStart"/>
      <w:r w:rsidRPr="00440323">
        <w:rPr>
          <w:rFonts w:asciiTheme="minorHAnsi" w:hAnsiTheme="minorHAnsi" w:cstheme="minorHAnsi"/>
          <w:color w:val="000000"/>
          <w:sz w:val="22"/>
          <w:szCs w:val="22"/>
        </w:rPr>
        <w:t>las  palabras</w:t>
      </w:r>
      <w:proofErr w:type="gramEnd"/>
      <w:r w:rsidRPr="00440323">
        <w:rPr>
          <w:rFonts w:asciiTheme="minorHAnsi" w:hAnsiTheme="minorHAnsi" w:cstheme="minorHAnsi"/>
          <w:color w:val="000000"/>
          <w:sz w:val="22"/>
          <w:szCs w:val="22"/>
        </w:rPr>
        <w:t xml:space="preserve"> preferencia sexual, opción sexual e inclinación sexual por ser estas palabras inadecuadas, mal utilizado e incorrecto. </w:t>
      </w:r>
    </w:p>
    <w:p w14:paraId="3B2F05ED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>Para el año 2009, el Órgano Ejecutivo y el Defensor del Pueblo, se comprometieron a trabajar dos decretos supremos, el primero respecto al 17 de mayo como “Día de Respuesta contra la Homofobia y Transfobia de Bolivia” y el segundo que establezca el 28 de junio de cada año como “Día de la Visibilización de los Derechos Humanos de la población GLBT de Bolivia.</w:t>
      </w:r>
    </w:p>
    <w:p w14:paraId="16031EAE" w14:textId="77777777" w:rsidR="00440323" w:rsidRPr="00440323" w:rsidRDefault="00440323" w:rsidP="00440323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440323">
        <w:rPr>
          <w:rFonts w:asciiTheme="minorHAnsi" w:hAnsiTheme="minorHAnsi" w:cstheme="minorHAnsi"/>
          <w:color w:val="000000"/>
          <w:sz w:val="22"/>
          <w:szCs w:val="22"/>
        </w:rPr>
        <w:t xml:space="preserve">Para el año 2012, la Asamblea Plurinacional de Bolivia, el Ministerio de Justicia, la Policía, el Registro Civil y el Órgano Electoral se comprometieron a elaborar </w:t>
      </w:r>
      <w:proofErr w:type="gramStart"/>
      <w:r w:rsidRPr="00440323">
        <w:rPr>
          <w:rFonts w:asciiTheme="minorHAnsi" w:hAnsiTheme="minorHAnsi" w:cstheme="minorHAnsi"/>
          <w:color w:val="000000"/>
          <w:sz w:val="22"/>
          <w:szCs w:val="22"/>
        </w:rPr>
        <w:t>un  ante</w:t>
      </w:r>
      <w:proofErr w:type="gramEnd"/>
      <w:r w:rsidRPr="00440323">
        <w:rPr>
          <w:rFonts w:asciiTheme="minorHAnsi" w:hAnsiTheme="minorHAnsi" w:cstheme="minorHAnsi"/>
          <w:color w:val="000000"/>
          <w:sz w:val="22"/>
          <w:szCs w:val="22"/>
        </w:rPr>
        <w:t xml:space="preserve"> proyecto de “Ley de Identidad de Género” que permita a las personas travestis, transexuales y transgénero el reconocimiento de sus derechos humanos e identidad.</w:t>
      </w:r>
    </w:p>
    <w:p w14:paraId="5D184A6B" w14:textId="77777777" w:rsidR="00490B76" w:rsidRPr="00440323" w:rsidRDefault="00490B76">
      <w:pPr>
        <w:rPr>
          <w:rFonts w:asciiTheme="minorHAnsi" w:hAnsiTheme="minorHAnsi" w:cstheme="minorHAnsi"/>
          <w:sz w:val="22"/>
        </w:rPr>
      </w:pPr>
    </w:p>
    <w:sectPr w:rsidR="00490B76" w:rsidRPr="00440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23"/>
    <w:rsid w:val="00440323"/>
    <w:rsid w:val="00490B76"/>
    <w:rsid w:val="004B0A70"/>
    <w:rsid w:val="004E601E"/>
    <w:rsid w:val="006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27769"/>
  <w15:chartTrackingRefBased/>
  <w15:docId w15:val="{C26EAD4F-D537-44D7-915E-FDE6987F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5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2021-03-11T18:37:00Z</dcterms:created>
  <dcterms:modified xsi:type="dcterms:W3CDTF">2021-03-11T18:38:00Z</dcterms:modified>
</cp:coreProperties>
</file>