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5E6" w:rsidRPr="00016B7D" w:rsidRDefault="000225E6" w:rsidP="000225E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noProof/>
          <w:lang w:eastAsia="es-BO"/>
        </w:rPr>
        <w:drawing>
          <wp:inline distT="0" distB="0" distL="0" distR="0" wp14:anchorId="40F4142E" wp14:editId="6EB6F1EA">
            <wp:extent cx="376555" cy="235347"/>
            <wp:effectExtent l="0" t="0" r="4445" b="0"/>
            <wp:docPr id="1" name="Imagen 1" descr="Bandera Oficial de la OE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dera Oficial de la OE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22256" cy="263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25E6" w:rsidRPr="00016B7D" w:rsidRDefault="000225E6" w:rsidP="000225E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16B7D">
        <w:rPr>
          <w:rFonts w:ascii="Arial" w:hAnsi="Arial" w:cs="Arial"/>
          <w:b/>
          <w:sz w:val="20"/>
          <w:szCs w:val="20"/>
        </w:rPr>
        <w:t xml:space="preserve">2.2.3.1. </w:t>
      </w:r>
      <w:bookmarkStart w:id="0" w:name="_GoBack"/>
      <w:r w:rsidRPr="00016B7D">
        <w:rPr>
          <w:rFonts w:ascii="Arial" w:hAnsi="Arial" w:cs="Arial"/>
          <w:b/>
          <w:sz w:val="20"/>
          <w:szCs w:val="20"/>
        </w:rPr>
        <w:t>OPINIÓN CONSULTIVA N° 4/84</w:t>
      </w:r>
      <w:bookmarkEnd w:id="0"/>
      <w:r w:rsidRPr="00016B7D">
        <w:rPr>
          <w:rStyle w:val="Refdenotaalpie"/>
          <w:rFonts w:ascii="Arial" w:hAnsi="Arial" w:cs="Arial"/>
          <w:b/>
          <w:sz w:val="20"/>
          <w:szCs w:val="20"/>
        </w:rPr>
        <w:footnoteReference w:id="1"/>
      </w:r>
    </w:p>
    <w:p w:rsidR="000225E6" w:rsidRPr="00016B7D" w:rsidRDefault="000225E6" w:rsidP="000225E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0225E6" w:rsidRPr="00016B7D" w:rsidRDefault="000225E6" w:rsidP="000225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16B7D">
        <w:rPr>
          <w:rFonts w:ascii="Arial" w:hAnsi="Arial" w:cs="Arial"/>
          <w:sz w:val="20"/>
          <w:szCs w:val="20"/>
        </w:rPr>
        <w:t>En relación con los artículos 24 y 17.4 de la Convención,</w:t>
      </w:r>
    </w:p>
    <w:p w:rsidR="000225E6" w:rsidRPr="00016B7D" w:rsidRDefault="000225E6" w:rsidP="000225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225E6" w:rsidRPr="00016B7D" w:rsidRDefault="000225E6" w:rsidP="000225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16B7D">
        <w:rPr>
          <w:rFonts w:ascii="Arial" w:hAnsi="Arial" w:cs="Arial"/>
          <w:sz w:val="20"/>
          <w:szCs w:val="20"/>
        </w:rPr>
        <w:t>Por unanimidad</w:t>
      </w:r>
    </w:p>
    <w:p w:rsidR="000225E6" w:rsidRPr="00016B7D" w:rsidRDefault="000225E6" w:rsidP="000225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225E6" w:rsidRPr="00016B7D" w:rsidRDefault="000225E6" w:rsidP="000225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16B7D">
        <w:rPr>
          <w:rFonts w:ascii="Arial" w:hAnsi="Arial" w:cs="Arial"/>
          <w:sz w:val="20"/>
          <w:szCs w:val="20"/>
        </w:rPr>
        <w:t>2. Que no constituye discriminación contraria a la Convención estipular condiciones preferentes para obtener la nacionalidad costarricense por naturalización en favor de los centroamericanos, iberoamericanos y españoles, frente a los demás extranjeros.</w:t>
      </w:r>
    </w:p>
    <w:p w:rsidR="000225E6" w:rsidRPr="00016B7D" w:rsidRDefault="000225E6" w:rsidP="000225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225E6" w:rsidRPr="00016B7D" w:rsidRDefault="000225E6" w:rsidP="000225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16B7D">
        <w:rPr>
          <w:rFonts w:ascii="Arial" w:hAnsi="Arial" w:cs="Arial"/>
          <w:sz w:val="20"/>
          <w:szCs w:val="20"/>
        </w:rPr>
        <w:t>Por cinco votos contra uno</w:t>
      </w:r>
    </w:p>
    <w:p w:rsidR="000225E6" w:rsidRPr="00016B7D" w:rsidRDefault="000225E6" w:rsidP="000225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225E6" w:rsidRPr="00016B7D" w:rsidRDefault="000225E6" w:rsidP="000225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16B7D">
        <w:rPr>
          <w:rFonts w:ascii="Arial" w:hAnsi="Arial" w:cs="Arial"/>
          <w:sz w:val="20"/>
          <w:szCs w:val="20"/>
        </w:rPr>
        <w:t>3. Que no constituye discriminación contraria a la Convención limitar esa preferencia a los centroamericanos, iberoamericanos y españoles por nacimiento.</w:t>
      </w:r>
    </w:p>
    <w:p w:rsidR="000225E6" w:rsidRPr="00016B7D" w:rsidRDefault="000225E6" w:rsidP="000225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225E6" w:rsidRPr="00016B7D" w:rsidRDefault="000225E6" w:rsidP="000225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16B7D">
        <w:rPr>
          <w:rFonts w:ascii="Arial" w:hAnsi="Arial" w:cs="Arial"/>
          <w:sz w:val="20"/>
          <w:szCs w:val="20"/>
        </w:rPr>
        <w:t>Por cinco votos contra uno</w:t>
      </w:r>
    </w:p>
    <w:p w:rsidR="000225E6" w:rsidRPr="00016B7D" w:rsidRDefault="000225E6" w:rsidP="000225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225E6" w:rsidRPr="00016B7D" w:rsidRDefault="000225E6" w:rsidP="000225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16B7D">
        <w:rPr>
          <w:rFonts w:ascii="Arial" w:hAnsi="Arial" w:cs="Arial"/>
          <w:sz w:val="20"/>
          <w:szCs w:val="20"/>
        </w:rPr>
        <w:t>4. Que no constituye, en sí mismo, discriminación contraria a la Convención agregar los requisitos del artículo 15 del proyecto, para la obtención de la nacionalidad costarricense por naturalización.</w:t>
      </w:r>
    </w:p>
    <w:p w:rsidR="000225E6" w:rsidRPr="00016B7D" w:rsidRDefault="000225E6" w:rsidP="000225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225E6" w:rsidRPr="00016B7D" w:rsidRDefault="000225E6" w:rsidP="000225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16B7D">
        <w:rPr>
          <w:rFonts w:ascii="Arial" w:hAnsi="Arial" w:cs="Arial"/>
          <w:sz w:val="20"/>
          <w:szCs w:val="20"/>
        </w:rPr>
        <w:t>Por unanimidad</w:t>
      </w:r>
    </w:p>
    <w:p w:rsidR="000225E6" w:rsidRPr="00016B7D" w:rsidRDefault="000225E6" w:rsidP="000225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225E6" w:rsidRPr="00016B7D" w:rsidRDefault="000225E6" w:rsidP="000225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16B7D">
        <w:rPr>
          <w:rFonts w:ascii="Arial" w:hAnsi="Arial" w:cs="Arial"/>
          <w:sz w:val="20"/>
          <w:szCs w:val="20"/>
        </w:rPr>
        <w:t>5. Que sí constituye discriminación incompatible con los artículos 17.4 y 24 de la Convención estipular en el artículo 14.4 del proyecto condiciones preferentes para la naturalización por causa de matrimonio a favor de uno solo de los cónyuges.</w:t>
      </w:r>
    </w:p>
    <w:p w:rsidR="00683406" w:rsidRDefault="00683406"/>
    <w:sectPr w:rsidR="0068340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116" w:rsidRDefault="006B7116" w:rsidP="000225E6">
      <w:pPr>
        <w:spacing w:after="0" w:line="240" w:lineRule="auto"/>
      </w:pPr>
      <w:r>
        <w:separator/>
      </w:r>
    </w:p>
  </w:endnote>
  <w:endnote w:type="continuationSeparator" w:id="0">
    <w:p w:rsidR="006B7116" w:rsidRDefault="006B7116" w:rsidP="00022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116" w:rsidRDefault="006B7116" w:rsidP="000225E6">
      <w:pPr>
        <w:spacing w:after="0" w:line="240" w:lineRule="auto"/>
      </w:pPr>
      <w:r>
        <w:separator/>
      </w:r>
    </w:p>
  </w:footnote>
  <w:footnote w:type="continuationSeparator" w:id="0">
    <w:p w:rsidR="006B7116" w:rsidRDefault="006B7116" w:rsidP="000225E6">
      <w:pPr>
        <w:spacing w:after="0" w:line="240" w:lineRule="auto"/>
      </w:pPr>
      <w:r>
        <w:continuationSeparator/>
      </w:r>
    </w:p>
  </w:footnote>
  <w:footnote w:id="1">
    <w:p w:rsidR="000225E6" w:rsidRPr="00016B7D" w:rsidRDefault="000225E6" w:rsidP="000225E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16B7D">
        <w:rPr>
          <w:rStyle w:val="Refdenotaalpie"/>
          <w:rFonts w:ascii="Times New Roman" w:hAnsi="Times New Roman" w:cs="Times New Roman"/>
          <w:sz w:val="18"/>
          <w:szCs w:val="18"/>
        </w:rPr>
        <w:footnoteRef/>
      </w:r>
      <w:r w:rsidRPr="00016B7D">
        <w:rPr>
          <w:rFonts w:ascii="Times New Roman" w:hAnsi="Times New Roman" w:cs="Times New Roman"/>
          <w:sz w:val="18"/>
          <w:szCs w:val="18"/>
        </w:rPr>
        <w:t xml:space="preserve"> Anexo OEA/DIGU/04 Para ver la norma in extenso, también puede utilizar el siguiente link   </w:t>
      </w:r>
      <w:hyperlink r:id="rId1" w:history="1">
        <w:r w:rsidRPr="00016B7D">
          <w:rPr>
            <w:rStyle w:val="Hipervnculo"/>
            <w:rFonts w:ascii="Times New Roman" w:hAnsi="Times New Roman" w:cs="Times New Roman"/>
            <w:sz w:val="18"/>
            <w:szCs w:val="18"/>
          </w:rPr>
          <w:t>http://www.corteidh.or.cr/docs/opiniones/seriea_04_esp.pdf</w:t>
        </w:r>
      </w:hyperlink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5E6"/>
    <w:rsid w:val="000225E6"/>
    <w:rsid w:val="00683406"/>
    <w:rsid w:val="006B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5E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225E6"/>
    <w:rPr>
      <w:color w:val="0000FF" w:themeColor="hyperlink"/>
      <w:u w:val="single"/>
    </w:rPr>
  </w:style>
  <w:style w:type="character" w:styleId="Refdenotaalpie">
    <w:name w:val="footnote reference"/>
    <w:basedOn w:val="Fuentedeprrafopredeter"/>
    <w:uiPriority w:val="99"/>
    <w:semiHidden/>
    <w:unhideWhenUsed/>
    <w:rsid w:val="000225E6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22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25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5E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225E6"/>
    <w:rPr>
      <w:color w:val="0000FF" w:themeColor="hyperlink"/>
      <w:u w:val="single"/>
    </w:rPr>
  </w:style>
  <w:style w:type="character" w:styleId="Refdenotaalpie">
    <w:name w:val="footnote reference"/>
    <w:basedOn w:val="Fuentedeprrafopredeter"/>
    <w:uiPriority w:val="99"/>
    <w:semiHidden/>
    <w:unhideWhenUsed/>
    <w:rsid w:val="000225E6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22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25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rteidh.or.cr/docs/opiniones/seriea_04_esp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Lobo</dc:creator>
  <cp:lastModifiedBy>Lobo</cp:lastModifiedBy>
  <cp:revision>1</cp:revision>
  <dcterms:created xsi:type="dcterms:W3CDTF">2016-11-01T02:22:00Z</dcterms:created>
  <dcterms:modified xsi:type="dcterms:W3CDTF">2016-11-01T02:23:00Z</dcterms:modified>
</cp:coreProperties>
</file>