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143" w:rsidRPr="00016B7D" w:rsidRDefault="000A1143" w:rsidP="000A114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noProof/>
          <w:lang w:eastAsia="es-BO"/>
        </w:rPr>
        <w:drawing>
          <wp:inline distT="0" distB="0" distL="0" distR="0" wp14:anchorId="06B0309F" wp14:editId="3045F896">
            <wp:extent cx="406213" cy="276225"/>
            <wp:effectExtent l="0" t="0" r="0" b="0"/>
            <wp:docPr id="1" name="Imagen 1" descr="Bandera de Boliv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dera de Boliv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52" cy="282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143" w:rsidRPr="00016B7D" w:rsidRDefault="000A1143" w:rsidP="000A1143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16B7D">
        <w:rPr>
          <w:rFonts w:ascii="Arial" w:hAnsi="Arial" w:cs="Arial"/>
          <w:b/>
          <w:bCs/>
          <w:sz w:val="20"/>
          <w:szCs w:val="20"/>
        </w:rPr>
        <w:t xml:space="preserve">1.5.5.5. </w:t>
      </w:r>
      <w:bookmarkStart w:id="0" w:name="_GoBack"/>
      <w:r w:rsidRPr="00016B7D">
        <w:rPr>
          <w:rFonts w:ascii="Arial" w:hAnsi="Arial" w:cs="Arial"/>
          <w:b/>
          <w:bCs/>
          <w:sz w:val="20"/>
          <w:szCs w:val="20"/>
        </w:rPr>
        <w:t xml:space="preserve">LEY DE LA EDUCACIÓN “AVELINO SIÑANI </w:t>
      </w:r>
      <w:bookmarkEnd w:id="0"/>
      <w:r w:rsidRPr="00016B7D">
        <w:rPr>
          <w:rFonts w:ascii="Arial" w:hAnsi="Arial" w:cs="Arial"/>
          <w:b/>
          <w:bCs/>
          <w:sz w:val="20"/>
          <w:szCs w:val="20"/>
        </w:rPr>
        <w:t>- ELIZARDO PÉREZ” Nª 070 DE 20 DE DICIEMBRE DE 2010</w:t>
      </w:r>
      <w:r w:rsidRPr="00016B7D">
        <w:rPr>
          <w:rStyle w:val="Refdenotaalpie"/>
          <w:rFonts w:ascii="Arial" w:hAnsi="Arial" w:cs="Arial"/>
          <w:b/>
          <w:bCs/>
          <w:sz w:val="20"/>
          <w:szCs w:val="20"/>
        </w:rPr>
        <w:footnoteReference w:id="1"/>
      </w:r>
    </w:p>
    <w:p w:rsidR="000A1143" w:rsidRPr="00016B7D" w:rsidRDefault="000A1143" w:rsidP="000A114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0A1143" w:rsidRPr="00016B7D" w:rsidRDefault="000A1143" w:rsidP="000A114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16B7D">
        <w:rPr>
          <w:rFonts w:ascii="Arial" w:hAnsi="Arial" w:cs="Arial"/>
          <w:b/>
          <w:sz w:val="20"/>
          <w:szCs w:val="20"/>
        </w:rPr>
        <w:t>Artículo 1°.- (Mandatos Constitucionales de la educación)</w:t>
      </w:r>
    </w:p>
    <w:p w:rsidR="000A1143" w:rsidRPr="00016B7D" w:rsidRDefault="000A1143" w:rsidP="000A11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6B7D">
        <w:rPr>
          <w:rFonts w:ascii="Arial" w:hAnsi="Arial" w:cs="Arial"/>
          <w:sz w:val="20"/>
          <w:szCs w:val="20"/>
        </w:rPr>
        <w:t>Toda persona tiene derecho a recibir educación en todos los niveles de manera universal, productiva, gratuita, integral e intercultural, sin discriminación.</w:t>
      </w:r>
    </w:p>
    <w:p w:rsidR="000A1143" w:rsidRPr="00016B7D" w:rsidRDefault="000A1143" w:rsidP="000A11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6B7D">
        <w:rPr>
          <w:rStyle w:val="Textoennegrita"/>
          <w:rFonts w:ascii="Arial" w:hAnsi="Arial" w:cs="Arial"/>
          <w:sz w:val="20"/>
          <w:szCs w:val="20"/>
        </w:rPr>
        <w:t xml:space="preserve">Artículo 3°.- (Bases de la educación) </w:t>
      </w:r>
      <w:r w:rsidRPr="00016B7D">
        <w:rPr>
          <w:rFonts w:ascii="Arial" w:hAnsi="Arial" w:cs="Arial"/>
          <w:sz w:val="20"/>
          <w:szCs w:val="20"/>
        </w:rPr>
        <w:t>La educación se sustenta en la sociedad, a través de la participación plena de las bolivianas y los bolivianos en el Sistema Educativo Plurinacional, respetando sus diversas expresiones sociales y culturales, en sus diferentes formas de organización. La educación se fundamenta en las siguientes bases:</w:t>
      </w:r>
    </w:p>
    <w:p w:rsidR="000A1143" w:rsidRPr="00016B7D" w:rsidRDefault="000A1143" w:rsidP="000A11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6B7D">
        <w:rPr>
          <w:rFonts w:ascii="Arial" w:hAnsi="Arial" w:cs="Arial"/>
          <w:sz w:val="20"/>
          <w:szCs w:val="20"/>
        </w:rPr>
        <w:t>7. Es inclusiva, asumiendo la diversidad de los grupos poblacionales y personas que habitan el país, ofrece una educación oportuna y pertinente a las necesidades, expectativas e intereses de todas y todos los habitantes del Estado Plurinacional, con igualdad de oportunidades y equiparación de condiciones, sin discriminación alguna según el Artículo 14 de la Constitución Política del Estado.</w:t>
      </w:r>
    </w:p>
    <w:p w:rsidR="000A1143" w:rsidRPr="00016B7D" w:rsidRDefault="000A1143" w:rsidP="000A11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6B7D">
        <w:rPr>
          <w:rFonts w:ascii="Arial" w:hAnsi="Arial" w:cs="Arial"/>
          <w:sz w:val="20"/>
          <w:szCs w:val="20"/>
        </w:rPr>
        <w:t xml:space="preserve">13. La educación asume y promueve como principios ético morales de la sociedad plural el ama </w:t>
      </w:r>
      <w:proofErr w:type="spellStart"/>
      <w:r w:rsidRPr="00016B7D">
        <w:rPr>
          <w:rFonts w:ascii="Arial" w:hAnsi="Arial" w:cs="Arial"/>
          <w:sz w:val="20"/>
          <w:szCs w:val="20"/>
        </w:rPr>
        <w:t>qhilla</w:t>
      </w:r>
      <w:proofErr w:type="spellEnd"/>
      <w:r w:rsidRPr="00016B7D">
        <w:rPr>
          <w:rFonts w:ascii="Arial" w:hAnsi="Arial" w:cs="Arial"/>
          <w:sz w:val="20"/>
          <w:szCs w:val="20"/>
        </w:rPr>
        <w:t xml:space="preserve">, ama </w:t>
      </w:r>
      <w:proofErr w:type="spellStart"/>
      <w:r w:rsidRPr="00016B7D">
        <w:rPr>
          <w:rFonts w:ascii="Arial" w:hAnsi="Arial" w:cs="Arial"/>
          <w:sz w:val="20"/>
          <w:szCs w:val="20"/>
        </w:rPr>
        <w:t>llulla</w:t>
      </w:r>
      <w:proofErr w:type="spellEnd"/>
      <w:r w:rsidRPr="00016B7D">
        <w:rPr>
          <w:rFonts w:ascii="Arial" w:hAnsi="Arial" w:cs="Arial"/>
          <w:sz w:val="20"/>
          <w:szCs w:val="20"/>
        </w:rPr>
        <w:t xml:space="preserve">, ama </w:t>
      </w:r>
      <w:proofErr w:type="spellStart"/>
      <w:r w:rsidRPr="00016B7D">
        <w:rPr>
          <w:rFonts w:ascii="Arial" w:hAnsi="Arial" w:cs="Arial"/>
          <w:sz w:val="20"/>
          <w:szCs w:val="20"/>
        </w:rPr>
        <w:t>suwa</w:t>
      </w:r>
      <w:proofErr w:type="spellEnd"/>
      <w:r w:rsidRPr="00016B7D">
        <w:rPr>
          <w:rFonts w:ascii="Arial" w:hAnsi="Arial" w:cs="Arial"/>
          <w:sz w:val="20"/>
          <w:szCs w:val="20"/>
        </w:rPr>
        <w:t xml:space="preserve"> (no seas flojo, no seas mentiroso ni seas ladrón), suma </w:t>
      </w:r>
      <w:proofErr w:type="spellStart"/>
      <w:r w:rsidRPr="00016B7D">
        <w:rPr>
          <w:rFonts w:ascii="Arial" w:hAnsi="Arial" w:cs="Arial"/>
          <w:sz w:val="20"/>
          <w:szCs w:val="20"/>
        </w:rPr>
        <w:t>qamaña</w:t>
      </w:r>
      <w:proofErr w:type="spellEnd"/>
      <w:r w:rsidRPr="00016B7D">
        <w:rPr>
          <w:rFonts w:ascii="Arial" w:hAnsi="Arial" w:cs="Arial"/>
          <w:sz w:val="20"/>
          <w:szCs w:val="20"/>
        </w:rPr>
        <w:t xml:space="preserve"> (Vivir Bien), </w:t>
      </w:r>
      <w:proofErr w:type="spellStart"/>
      <w:r w:rsidRPr="00016B7D">
        <w:rPr>
          <w:rFonts w:ascii="Arial" w:hAnsi="Arial" w:cs="Arial"/>
          <w:sz w:val="20"/>
          <w:szCs w:val="20"/>
        </w:rPr>
        <w:t>ñandereko</w:t>
      </w:r>
      <w:proofErr w:type="spellEnd"/>
      <w:r w:rsidRPr="00016B7D">
        <w:rPr>
          <w:rFonts w:ascii="Arial" w:hAnsi="Arial" w:cs="Arial"/>
          <w:sz w:val="20"/>
          <w:szCs w:val="20"/>
        </w:rPr>
        <w:t xml:space="preserve"> (vida armoniosa), </w:t>
      </w:r>
      <w:proofErr w:type="spellStart"/>
      <w:r w:rsidRPr="00016B7D">
        <w:rPr>
          <w:rFonts w:ascii="Arial" w:hAnsi="Arial" w:cs="Arial"/>
          <w:sz w:val="20"/>
          <w:szCs w:val="20"/>
        </w:rPr>
        <w:t>teko</w:t>
      </w:r>
      <w:proofErr w:type="spellEnd"/>
      <w:r w:rsidRPr="00016B7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6B7D">
        <w:rPr>
          <w:rFonts w:ascii="Arial" w:hAnsi="Arial" w:cs="Arial"/>
          <w:sz w:val="20"/>
          <w:szCs w:val="20"/>
        </w:rPr>
        <w:t>kavi</w:t>
      </w:r>
      <w:proofErr w:type="spellEnd"/>
      <w:r w:rsidRPr="00016B7D">
        <w:rPr>
          <w:rFonts w:ascii="Arial" w:hAnsi="Arial" w:cs="Arial"/>
          <w:sz w:val="20"/>
          <w:szCs w:val="20"/>
        </w:rPr>
        <w:t xml:space="preserve"> (vida buena), </w:t>
      </w:r>
      <w:proofErr w:type="spellStart"/>
      <w:r w:rsidRPr="00016B7D">
        <w:rPr>
          <w:rFonts w:ascii="Arial" w:hAnsi="Arial" w:cs="Arial"/>
          <w:sz w:val="20"/>
          <w:szCs w:val="20"/>
        </w:rPr>
        <w:t>ivi</w:t>
      </w:r>
      <w:proofErr w:type="spellEnd"/>
      <w:r w:rsidRPr="00016B7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6B7D">
        <w:rPr>
          <w:rFonts w:ascii="Arial" w:hAnsi="Arial" w:cs="Arial"/>
          <w:sz w:val="20"/>
          <w:szCs w:val="20"/>
        </w:rPr>
        <w:t>maraei</w:t>
      </w:r>
      <w:proofErr w:type="spellEnd"/>
      <w:r w:rsidRPr="00016B7D">
        <w:rPr>
          <w:rFonts w:ascii="Arial" w:hAnsi="Arial" w:cs="Arial"/>
          <w:sz w:val="20"/>
          <w:szCs w:val="20"/>
        </w:rPr>
        <w:t xml:space="preserve"> (tierra sin mal) y </w:t>
      </w:r>
      <w:proofErr w:type="spellStart"/>
      <w:r w:rsidRPr="00016B7D">
        <w:rPr>
          <w:rFonts w:ascii="Arial" w:hAnsi="Arial" w:cs="Arial"/>
          <w:sz w:val="20"/>
          <w:szCs w:val="20"/>
        </w:rPr>
        <w:t>qhapaj</w:t>
      </w:r>
      <w:proofErr w:type="spellEnd"/>
      <w:r w:rsidRPr="00016B7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6B7D">
        <w:rPr>
          <w:rFonts w:ascii="Arial" w:hAnsi="Arial" w:cs="Arial"/>
          <w:sz w:val="20"/>
          <w:szCs w:val="20"/>
        </w:rPr>
        <w:t>ñan</w:t>
      </w:r>
      <w:proofErr w:type="spellEnd"/>
      <w:r w:rsidRPr="00016B7D">
        <w:rPr>
          <w:rFonts w:ascii="Arial" w:hAnsi="Arial" w:cs="Arial"/>
          <w:sz w:val="20"/>
          <w:szCs w:val="20"/>
        </w:rPr>
        <w:t xml:space="preserve"> (camino o vida noble), y los principios de otros pueblos. Se sustenta en los valores de unidad, igualdad, inclusión, dignidad, libertad, solidaridad, reciprocidad, respeto, complementariedad, armonía, transparencia, equilibrio, igualdad de oportunidades, equidad social y de género en la participación, bienestar común, responsabilidad, justicia social, distribución y redistribución de los productos y bienes sociales, para Vivir Bien.</w:t>
      </w:r>
    </w:p>
    <w:p w:rsidR="000A1143" w:rsidRPr="00016B7D" w:rsidRDefault="000A1143" w:rsidP="000A11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6B7D">
        <w:rPr>
          <w:rStyle w:val="Textoennegrita"/>
          <w:rFonts w:ascii="Arial" w:hAnsi="Arial" w:cs="Arial"/>
          <w:sz w:val="20"/>
          <w:szCs w:val="20"/>
        </w:rPr>
        <w:t>Artículo 4°.- (Fines de la educación)</w:t>
      </w:r>
    </w:p>
    <w:p w:rsidR="000A1143" w:rsidRPr="00016B7D" w:rsidRDefault="000A1143" w:rsidP="000A1143">
      <w:pPr>
        <w:spacing w:after="0" w:line="240" w:lineRule="auto"/>
        <w:jc w:val="both"/>
        <w:rPr>
          <w:rStyle w:val="Textoennegrita"/>
          <w:rFonts w:ascii="Arial" w:hAnsi="Arial" w:cs="Arial"/>
          <w:sz w:val="20"/>
          <w:szCs w:val="20"/>
        </w:rPr>
      </w:pPr>
      <w:r w:rsidRPr="00016B7D">
        <w:rPr>
          <w:rStyle w:val="Textoennegrita"/>
          <w:rFonts w:ascii="Arial" w:hAnsi="Arial" w:cs="Arial"/>
          <w:sz w:val="20"/>
          <w:szCs w:val="20"/>
        </w:rPr>
        <w:t xml:space="preserve">6. </w:t>
      </w:r>
      <w:r w:rsidRPr="00016B7D">
        <w:rPr>
          <w:rFonts w:ascii="Arial" w:hAnsi="Arial" w:cs="Arial"/>
          <w:bCs/>
          <w:sz w:val="20"/>
          <w:szCs w:val="20"/>
        </w:rPr>
        <w:t xml:space="preserve">Promover una sociedad </w:t>
      </w:r>
      <w:proofErr w:type="spellStart"/>
      <w:r w:rsidRPr="00016B7D">
        <w:rPr>
          <w:rFonts w:ascii="Arial" w:hAnsi="Arial" w:cs="Arial"/>
          <w:bCs/>
          <w:sz w:val="20"/>
          <w:szCs w:val="20"/>
        </w:rPr>
        <w:t>despatriarcalizada</w:t>
      </w:r>
      <w:proofErr w:type="spellEnd"/>
      <w:r w:rsidRPr="00016B7D">
        <w:rPr>
          <w:rFonts w:ascii="Arial" w:hAnsi="Arial" w:cs="Arial"/>
          <w:bCs/>
          <w:sz w:val="20"/>
          <w:szCs w:val="20"/>
        </w:rPr>
        <w:t>, cimentada en la equidad de género, la no diferencia de roles, la no violencia y la vigencia plena de los derechos humanos.</w:t>
      </w:r>
    </w:p>
    <w:p w:rsidR="000A1143" w:rsidRPr="00016B7D" w:rsidRDefault="000A1143" w:rsidP="000A1143">
      <w:pPr>
        <w:spacing w:after="0" w:line="240" w:lineRule="auto"/>
        <w:jc w:val="both"/>
        <w:rPr>
          <w:rStyle w:val="Textoennegrita"/>
          <w:rFonts w:ascii="Arial" w:hAnsi="Arial" w:cs="Arial"/>
          <w:sz w:val="20"/>
          <w:szCs w:val="20"/>
        </w:rPr>
      </w:pPr>
      <w:r w:rsidRPr="00016B7D">
        <w:rPr>
          <w:rStyle w:val="Textoennegrita"/>
          <w:rFonts w:ascii="Arial" w:hAnsi="Arial" w:cs="Arial"/>
          <w:sz w:val="20"/>
          <w:szCs w:val="20"/>
        </w:rPr>
        <w:t>Artículo 5°.- (Objetivos de la educación)</w:t>
      </w:r>
    </w:p>
    <w:p w:rsidR="000A1143" w:rsidRPr="00016B7D" w:rsidRDefault="000A1143" w:rsidP="000A114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6B7D">
        <w:rPr>
          <w:rFonts w:ascii="Arial" w:hAnsi="Arial" w:cs="Arial"/>
          <w:sz w:val="20"/>
          <w:szCs w:val="20"/>
        </w:rPr>
        <w:t>Garantizar el acceso a la educación y la permanencia de ciudadanas y ciudadanos en condiciones de plena igualdad y equiparación de condiciones.</w:t>
      </w:r>
    </w:p>
    <w:p w:rsidR="00683406" w:rsidRDefault="00683406"/>
    <w:sectPr w:rsidR="0068340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B31" w:rsidRDefault="00864B31" w:rsidP="000A1143">
      <w:pPr>
        <w:spacing w:after="0" w:line="240" w:lineRule="auto"/>
      </w:pPr>
      <w:r>
        <w:separator/>
      </w:r>
    </w:p>
  </w:endnote>
  <w:endnote w:type="continuationSeparator" w:id="0">
    <w:p w:rsidR="00864B31" w:rsidRDefault="00864B31" w:rsidP="000A1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B31" w:rsidRDefault="00864B31" w:rsidP="000A1143">
      <w:pPr>
        <w:spacing w:after="0" w:line="240" w:lineRule="auto"/>
      </w:pPr>
      <w:r>
        <w:separator/>
      </w:r>
    </w:p>
  </w:footnote>
  <w:footnote w:type="continuationSeparator" w:id="0">
    <w:p w:rsidR="00864B31" w:rsidRDefault="00864B31" w:rsidP="000A1143">
      <w:pPr>
        <w:spacing w:after="0" w:line="240" w:lineRule="auto"/>
      </w:pPr>
      <w:r>
        <w:continuationSeparator/>
      </w:r>
    </w:p>
  </w:footnote>
  <w:footnote w:id="1">
    <w:p w:rsidR="000A1143" w:rsidRPr="00016B7D" w:rsidRDefault="000A1143" w:rsidP="000A114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16B7D">
        <w:rPr>
          <w:rStyle w:val="Refdenotaalpie"/>
          <w:rFonts w:ascii="Times New Roman" w:hAnsi="Times New Roman" w:cs="Times New Roman"/>
          <w:sz w:val="18"/>
          <w:szCs w:val="18"/>
        </w:rPr>
        <w:footnoteRef/>
      </w:r>
      <w:r w:rsidRPr="00016B7D">
        <w:rPr>
          <w:rFonts w:ascii="Times New Roman" w:hAnsi="Times New Roman" w:cs="Times New Roman"/>
          <w:sz w:val="18"/>
          <w:szCs w:val="18"/>
        </w:rPr>
        <w:t xml:space="preserve"> Anexo BOL/DIGU/E/14 Para ver la norma in extenso, también puede utilizar el siguiente link   </w:t>
      </w:r>
      <w:hyperlink r:id="rId1" w:history="1">
        <w:r w:rsidRPr="00016B7D">
          <w:rPr>
            <w:rStyle w:val="Hipervnculo"/>
            <w:rFonts w:ascii="Times New Roman" w:hAnsi="Times New Roman" w:cs="Times New Roman"/>
            <w:sz w:val="18"/>
            <w:szCs w:val="18"/>
          </w:rPr>
          <w:t>http://www.lexivox.org/norms/BO-L-N70.xhtml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F0D15"/>
    <w:multiLevelType w:val="multilevel"/>
    <w:tmpl w:val="43DA9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143"/>
    <w:rsid w:val="000A1143"/>
    <w:rsid w:val="00683406"/>
    <w:rsid w:val="0086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14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A1143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0A1143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0A1143"/>
    <w:rPr>
      <w:b/>
      <w:bCs/>
    </w:rPr>
  </w:style>
  <w:style w:type="character" w:styleId="Refdenotaalpie">
    <w:name w:val="footnote reference"/>
    <w:basedOn w:val="Fuentedeprrafopredeter"/>
    <w:uiPriority w:val="99"/>
    <w:semiHidden/>
    <w:unhideWhenUsed/>
    <w:rsid w:val="000A1143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A1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11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14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A1143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0A1143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0A1143"/>
    <w:rPr>
      <w:b/>
      <w:bCs/>
    </w:rPr>
  </w:style>
  <w:style w:type="character" w:styleId="Refdenotaalpie">
    <w:name w:val="footnote reference"/>
    <w:basedOn w:val="Fuentedeprrafopredeter"/>
    <w:uiPriority w:val="99"/>
    <w:semiHidden/>
    <w:unhideWhenUsed/>
    <w:rsid w:val="000A1143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A1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11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xivox.org/norms/BO-L-N70.x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Lobo</dc:creator>
  <cp:lastModifiedBy>Lobo</cp:lastModifiedBy>
  <cp:revision>1</cp:revision>
  <dcterms:created xsi:type="dcterms:W3CDTF">2016-10-31T21:19:00Z</dcterms:created>
  <dcterms:modified xsi:type="dcterms:W3CDTF">2016-10-31T21:20:00Z</dcterms:modified>
</cp:coreProperties>
</file>