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07" w:rsidRDefault="00D52607" w:rsidP="00D52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cyan"/>
          <w:lang w:eastAsia="es-BO"/>
        </w:rPr>
      </w:pPr>
      <w:r>
        <w:rPr>
          <w:noProof/>
          <w:lang w:eastAsia="es-BO"/>
        </w:rPr>
        <w:drawing>
          <wp:inline distT="0" distB="0" distL="0" distR="0" wp14:anchorId="2AD515A2" wp14:editId="4BABADAF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07" w:rsidRPr="006829A9" w:rsidRDefault="00D52607" w:rsidP="00D526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2607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 xml:space="preserve">ADOPCIÓN POR </w:t>
      </w:r>
      <w:r w:rsidR="00AE680E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PAREJAS DEL MISMO SEXO</w:t>
      </w:r>
      <w:r w:rsidRPr="00D52607">
        <w:rPr>
          <w:rStyle w:val="Refdenotaalpie"/>
          <w:rFonts w:ascii="Arial" w:eastAsia="Times New Roman" w:hAnsi="Arial" w:cs="Arial"/>
          <w:b/>
          <w:color w:val="000000"/>
          <w:sz w:val="20"/>
          <w:szCs w:val="20"/>
          <w:lang w:val="en-GB" w:eastAsia="es-BO"/>
        </w:rPr>
        <w:footnoteReference w:id="1"/>
      </w:r>
    </w:p>
    <w:p w:rsidR="00D52607" w:rsidRPr="00AE680E" w:rsidRDefault="00D52607" w:rsidP="00AE6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680E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Corte Constitucional de Colombia</w:t>
      </w:r>
    </w:p>
    <w:p w:rsidR="00AE680E" w:rsidRPr="00AE680E" w:rsidRDefault="00ED2C00" w:rsidP="00AE68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AE680E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Sentencia </w:t>
      </w:r>
      <w:r w:rsidR="00AE680E" w:rsidRPr="00AE680E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C-071/15</w:t>
      </w:r>
    </w:p>
    <w:p w:rsidR="00D52607" w:rsidRPr="00AE680E" w:rsidRDefault="00AE680E" w:rsidP="00AE6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680E">
        <w:rPr>
          <w:rFonts w:ascii="Arial" w:hAnsi="Arial" w:cs="Arial"/>
          <w:sz w:val="20"/>
          <w:szCs w:val="20"/>
        </w:rPr>
        <w:t>Fecha: 18</w:t>
      </w:r>
      <w:r w:rsidR="00D52607" w:rsidRPr="00AE680E">
        <w:rPr>
          <w:rFonts w:ascii="Arial" w:hAnsi="Arial" w:cs="Arial"/>
          <w:sz w:val="20"/>
          <w:szCs w:val="20"/>
        </w:rPr>
        <w:t>/0</w:t>
      </w:r>
      <w:r w:rsidRPr="00AE680E">
        <w:rPr>
          <w:rFonts w:ascii="Arial" w:hAnsi="Arial" w:cs="Arial"/>
          <w:sz w:val="20"/>
          <w:szCs w:val="20"/>
        </w:rPr>
        <w:t>2/2015</w:t>
      </w:r>
    </w:p>
    <w:p w:rsidR="00D52607" w:rsidRPr="00ED2C00" w:rsidRDefault="00D52607" w:rsidP="00D526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2C00">
        <w:rPr>
          <w:rFonts w:ascii="Arial" w:hAnsi="Arial" w:cs="Arial"/>
          <w:b/>
          <w:sz w:val="20"/>
          <w:szCs w:val="20"/>
        </w:rPr>
        <w:t xml:space="preserve">Antecedentes </w:t>
      </w:r>
    </w:p>
    <w:p w:rsidR="006D7556" w:rsidRPr="00AE680E" w:rsidRDefault="006D7556" w:rsidP="006D7556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bookmarkStart w:id="0" w:name="_GoBack"/>
      <w:r w:rsidRPr="006D7556">
        <w:rPr>
          <w:rFonts w:ascii="Arial" w:hAnsi="Arial" w:cs="Arial"/>
          <w:sz w:val="20"/>
          <w:szCs w:val="20"/>
          <w:lang w:val="es-CO"/>
        </w:rPr>
        <w:t>Diego Andrés Prada Vargas demandó los artículos 64, 66 y 68 (parciales) de la Ley 1098 de 2006</w:t>
      </w:r>
      <w:r w:rsidRPr="00AE680E">
        <w:rPr>
          <w:rFonts w:ascii="Arial" w:hAnsi="Arial" w:cs="Arial"/>
          <w:sz w:val="20"/>
          <w:szCs w:val="20"/>
          <w:lang w:val="es-CO"/>
        </w:rPr>
        <w:t>, “</w:t>
      </w:r>
      <w:r w:rsidRPr="006D7556">
        <w:rPr>
          <w:rFonts w:ascii="Arial" w:hAnsi="Arial" w:cs="Arial"/>
          <w:sz w:val="20"/>
          <w:szCs w:val="20"/>
          <w:lang w:val="es-CO"/>
        </w:rPr>
        <w:t>por la cual se expide el Código de la Infancia y la Adolescencia”</w:t>
      </w:r>
      <w:r w:rsidRPr="00AE680E">
        <w:rPr>
          <w:rFonts w:ascii="Arial" w:hAnsi="Arial" w:cs="Arial"/>
          <w:sz w:val="20"/>
          <w:szCs w:val="20"/>
          <w:lang w:val="es-CO"/>
        </w:rPr>
        <w:t xml:space="preserve"> </w:t>
      </w:r>
      <w:r w:rsidRPr="006D7556">
        <w:rPr>
          <w:rFonts w:ascii="Arial" w:hAnsi="Arial" w:cs="Arial"/>
          <w:sz w:val="20"/>
          <w:szCs w:val="20"/>
          <w:lang w:val="es-CO"/>
        </w:rPr>
        <w:t>, así como el artículo 1º (parcial) de</w:t>
      </w:r>
      <w:r w:rsidRPr="00AE680E">
        <w:rPr>
          <w:rFonts w:ascii="Arial" w:hAnsi="Arial" w:cs="Arial"/>
          <w:sz w:val="20"/>
          <w:szCs w:val="20"/>
          <w:lang w:val="es-CO"/>
        </w:rPr>
        <w:t xml:space="preserve"> </w:t>
      </w:r>
      <w:r w:rsidRPr="006D7556">
        <w:rPr>
          <w:rFonts w:ascii="Arial" w:hAnsi="Arial" w:cs="Arial"/>
          <w:sz w:val="20"/>
          <w:szCs w:val="20"/>
          <w:lang w:val="es-CO"/>
        </w:rPr>
        <w:t xml:space="preserve">la Ley 54 de 1990, “por la cual se definen las uniones maritales de hecho y </w:t>
      </w:r>
      <w:r w:rsidRPr="00AE680E">
        <w:rPr>
          <w:rFonts w:ascii="Arial" w:hAnsi="Arial" w:cs="Arial"/>
          <w:sz w:val="20"/>
          <w:szCs w:val="20"/>
          <w:lang w:val="es-CO"/>
        </w:rPr>
        <w:t>r</w:t>
      </w:r>
      <w:r w:rsidRPr="006D7556">
        <w:rPr>
          <w:rFonts w:ascii="Arial" w:hAnsi="Arial" w:cs="Arial"/>
          <w:sz w:val="20"/>
          <w:szCs w:val="20"/>
          <w:lang w:val="es-CO"/>
        </w:rPr>
        <w:t>égimen patrimonial entre compañeros permanentes</w:t>
      </w:r>
      <w:r w:rsidRPr="00AE680E">
        <w:rPr>
          <w:rFonts w:ascii="Arial" w:hAnsi="Arial" w:cs="Arial"/>
          <w:sz w:val="20"/>
          <w:szCs w:val="20"/>
          <w:lang w:val="es-CO"/>
        </w:rPr>
        <w:t>.</w:t>
      </w:r>
    </w:p>
    <w:p w:rsidR="006D7556" w:rsidRPr="006D7556" w:rsidRDefault="006D7556" w:rsidP="006D75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6D7556">
        <w:rPr>
          <w:rFonts w:ascii="Arial" w:hAnsi="Arial" w:cs="Arial"/>
          <w:sz w:val="20"/>
          <w:szCs w:val="20"/>
          <w:lang w:val="es-CO"/>
        </w:rPr>
        <w:t>El ciudadano cuestiona que las normas parcialmente acusadas no autoricen la adopción conjunta por parte de parejas del mismo sexo, lo que considera contrario al Preámbulo y a los artículos 1º, 7º, 13, 42 y 44 de la Constitución, así como a los artículos 2º de la Declaración Universal de los Derechos Humanos y 26 del Pacto Internacional de Derechos Civiles y Políticos, relativos al derecho a la igualdad.</w:t>
      </w:r>
    </w:p>
    <w:bookmarkEnd w:id="0"/>
    <w:p w:rsidR="00D52607" w:rsidRPr="00AE680E" w:rsidRDefault="00D52607" w:rsidP="00E744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680E">
        <w:rPr>
          <w:rFonts w:ascii="Arial" w:hAnsi="Arial" w:cs="Arial"/>
          <w:b/>
          <w:sz w:val="20"/>
          <w:szCs w:val="20"/>
        </w:rPr>
        <w:t>Sentencia</w:t>
      </w:r>
    </w:p>
    <w:p w:rsidR="006D7556" w:rsidRPr="006D7556" w:rsidRDefault="006D7556" w:rsidP="00AE68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6D7556">
        <w:rPr>
          <w:rFonts w:ascii="Arial" w:hAnsi="Arial" w:cs="Arial"/>
          <w:sz w:val="20"/>
          <w:szCs w:val="20"/>
          <w:lang w:val="es-CO"/>
        </w:rPr>
        <w:t>Primero.-Declarar EXEQUIBLES, por los cargos</w:t>
      </w:r>
      <w:r w:rsidRPr="00AE680E">
        <w:rPr>
          <w:rFonts w:ascii="Arial" w:hAnsi="Arial" w:cs="Arial"/>
          <w:sz w:val="20"/>
          <w:szCs w:val="20"/>
          <w:lang w:val="es-CO"/>
        </w:rPr>
        <w:t xml:space="preserve"> </w:t>
      </w:r>
      <w:r w:rsidRPr="006D7556">
        <w:rPr>
          <w:rFonts w:ascii="Arial" w:hAnsi="Arial" w:cs="Arial"/>
          <w:sz w:val="20"/>
          <w:szCs w:val="20"/>
          <w:lang w:val="es-CO"/>
        </w:rPr>
        <w:t xml:space="preserve">analizados, las expresiones impugnadas de los artículos 64 (numeral 1º) y 68 (numeral 3º) de la Ley 1098 de 2006, </w:t>
      </w:r>
    </w:p>
    <w:p w:rsidR="006D7556" w:rsidRPr="006D7556" w:rsidRDefault="006D7556" w:rsidP="00AE68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6D7556">
        <w:rPr>
          <w:rFonts w:ascii="Arial" w:hAnsi="Arial" w:cs="Arial"/>
          <w:sz w:val="20"/>
          <w:szCs w:val="20"/>
          <w:lang w:val="es-CO"/>
        </w:rPr>
        <w:t xml:space="preserve">“por la cual se expide el Código de la Infancia y la Adolescencia”, así como del artículo 1º (parcial) de la Ley 54 de 1990, “por la cual se definen las uniones maritales de hecho y régimen patrimonial entre compañeros permanentes”. </w:t>
      </w:r>
    </w:p>
    <w:p w:rsidR="00AE680E" w:rsidRPr="00AE680E" w:rsidRDefault="006D7556" w:rsidP="00AE680E">
      <w:pPr>
        <w:rPr>
          <w:rFonts w:ascii="Arial" w:hAnsi="Arial" w:cs="Arial"/>
          <w:sz w:val="20"/>
          <w:szCs w:val="20"/>
          <w:lang w:val="es-CO"/>
        </w:rPr>
      </w:pPr>
      <w:r w:rsidRPr="006D7556">
        <w:rPr>
          <w:rFonts w:ascii="Arial" w:hAnsi="Arial" w:cs="Arial"/>
          <w:sz w:val="20"/>
          <w:szCs w:val="20"/>
          <w:lang w:val="es-CO"/>
        </w:rPr>
        <w:t>Segundo.-Declarar</w:t>
      </w:r>
      <w:r w:rsidRPr="00AE680E">
        <w:rPr>
          <w:rFonts w:ascii="Arial" w:hAnsi="Arial" w:cs="Arial"/>
          <w:sz w:val="20"/>
          <w:szCs w:val="20"/>
          <w:lang w:val="es-CO"/>
        </w:rPr>
        <w:t xml:space="preserve"> </w:t>
      </w:r>
      <w:r w:rsidRPr="006D7556">
        <w:rPr>
          <w:rFonts w:ascii="Arial" w:hAnsi="Arial" w:cs="Arial"/>
          <w:sz w:val="20"/>
          <w:szCs w:val="20"/>
          <w:lang w:val="es-CO"/>
        </w:rPr>
        <w:t>EXEQUIBLES las expresiones demandadas del numeral</w:t>
      </w:r>
      <w:r w:rsidR="00AE680E" w:rsidRPr="00AE680E">
        <w:rPr>
          <w:rFonts w:ascii="Arial" w:hAnsi="Arial" w:cs="Arial"/>
          <w:sz w:val="20"/>
          <w:szCs w:val="20"/>
          <w:lang w:val="es-CO"/>
        </w:rPr>
        <w:t xml:space="preserve"> </w:t>
      </w:r>
      <w:r w:rsidRPr="006D7556">
        <w:rPr>
          <w:rFonts w:ascii="Arial" w:hAnsi="Arial" w:cs="Arial"/>
          <w:sz w:val="20"/>
          <w:szCs w:val="20"/>
          <w:lang w:val="es-CO"/>
        </w:rPr>
        <w:t>5º</w:t>
      </w:r>
      <w:r w:rsidR="00AE680E" w:rsidRPr="00AE680E">
        <w:rPr>
          <w:rFonts w:ascii="Arial" w:hAnsi="Arial" w:cs="Arial"/>
          <w:sz w:val="20"/>
          <w:szCs w:val="20"/>
          <w:lang w:val="es-CO"/>
        </w:rPr>
        <w:t xml:space="preserve"> </w:t>
      </w:r>
      <w:r w:rsidRPr="006D7556">
        <w:rPr>
          <w:rFonts w:ascii="Arial" w:hAnsi="Arial" w:cs="Arial"/>
          <w:sz w:val="20"/>
          <w:szCs w:val="20"/>
          <w:lang w:val="es-CO"/>
        </w:rPr>
        <w:t>del artículo 64, del artículo 66 y del numeral 5º del artículo 68 de la Ley 1098 de 2006, “por la cual se expide el Código de la Infancia y la Adolescencia”, en el entendido que dentro de su ámbito de aplicación también</w:t>
      </w:r>
      <w:r w:rsidR="00AE680E" w:rsidRPr="00AE680E">
        <w:rPr>
          <w:rFonts w:ascii="Arial" w:hAnsi="Arial" w:cs="Arial"/>
          <w:sz w:val="20"/>
          <w:szCs w:val="20"/>
          <w:lang w:val="es-CO"/>
        </w:rPr>
        <w:t xml:space="preserve"> </w:t>
      </w:r>
      <w:r w:rsidRPr="006D7556">
        <w:rPr>
          <w:rFonts w:ascii="Arial" w:hAnsi="Arial" w:cs="Arial"/>
          <w:sz w:val="20"/>
          <w:szCs w:val="20"/>
          <w:lang w:val="es-CO"/>
        </w:rPr>
        <w:t xml:space="preserve">están comprendidas las parejas del mismo sexo cuando la solicitud de </w:t>
      </w:r>
      <w:r w:rsidR="00AE680E" w:rsidRPr="00AE680E">
        <w:rPr>
          <w:rFonts w:ascii="Arial" w:hAnsi="Arial" w:cs="Arial"/>
          <w:sz w:val="20"/>
          <w:szCs w:val="20"/>
          <w:lang w:val="es-CO"/>
        </w:rPr>
        <w:t>adopción recaiga en el hijo biológico de su compañero o compañera permanente</w:t>
      </w:r>
    </w:p>
    <w:p w:rsidR="006D7556" w:rsidRPr="006D7556" w:rsidRDefault="006D7556" w:rsidP="00AE680E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val="es-CO"/>
        </w:rPr>
      </w:pPr>
    </w:p>
    <w:p w:rsidR="006D7556" w:rsidRPr="00ED2C00" w:rsidRDefault="006D7556" w:rsidP="00E744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D7556" w:rsidRPr="00ED2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92" w:rsidRDefault="00301692" w:rsidP="00D52607">
      <w:pPr>
        <w:spacing w:after="0" w:line="240" w:lineRule="auto"/>
      </w:pPr>
      <w:r>
        <w:separator/>
      </w:r>
    </w:p>
  </w:endnote>
  <w:endnote w:type="continuationSeparator" w:id="0">
    <w:p w:rsidR="00301692" w:rsidRDefault="00301692" w:rsidP="00D5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92" w:rsidRDefault="00301692" w:rsidP="00D52607">
      <w:pPr>
        <w:spacing w:after="0" w:line="240" w:lineRule="auto"/>
      </w:pPr>
      <w:r>
        <w:separator/>
      </w:r>
    </w:p>
  </w:footnote>
  <w:footnote w:type="continuationSeparator" w:id="0">
    <w:p w:rsidR="00301692" w:rsidRDefault="00301692" w:rsidP="00D52607">
      <w:pPr>
        <w:spacing w:after="0" w:line="240" w:lineRule="auto"/>
      </w:pPr>
      <w:r>
        <w:continuationSeparator/>
      </w:r>
    </w:p>
  </w:footnote>
  <w:footnote w:id="1">
    <w:p w:rsidR="00D52607" w:rsidRPr="0033090E" w:rsidRDefault="00D52607" w:rsidP="00AE680E">
      <w:pPr>
        <w:pStyle w:val="Textonotapie"/>
        <w:jc w:val="both"/>
      </w:pPr>
      <w:r>
        <w:rPr>
          <w:rStyle w:val="Refdenotaalpie"/>
        </w:rPr>
        <w:footnoteRef/>
      </w:r>
      <w:r>
        <w:t xml:space="preserve"> Para ver la </w:t>
      </w:r>
      <w:r w:rsidRPr="00711B4F">
        <w:t xml:space="preserve">norma in extenso, </w:t>
      </w:r>
      <w:r>
        <w:t>también pu</w:t>
      </w:r>
      <w:r w:rsidR="00ED2C00">
        <w:t xml:space="preserve">ede utilizar el siguiente link: </w:t>
      </w:r>
      <w:r w:rsidR="00AE680E" w:rsidRPr="00AE680E">
        <w:t>https://www.dropbox.com/s/qj9nm5dt4tt6yte/C-071-15_adopcion_hijos_biologicos_parejas_mismo_sexo.pdf?dl=0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07"/>
    <w:rsid w:val="00025BB6"/>
    <w:rsid w:val="00301692"/>
    <w:rsid w:val="00426EBA"/>
    <w:rsid w:val="00683406"/>
    <w:rsid w:val="006D7556"/>
    <w:rsid w:val="00AE680E"/>
    <w:rsid w:val="00D52607"/>
    <w:rsid w:val="00E7449E"/>
    <w:rsid w:val="00E97B83"/>
    <w:rsid w:val="00ED2C00"/>
    <w:rsid w:val="00F5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0A6E30-F594-46A4-A8C5-9B5050C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607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D526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D526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5260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</dc:creator>
  <cp:lastModifiedBy>Carlos Alberto Zárate Quezada</cp:lastModifiedBy>
  <cp:revision>3</cp:revision>
  <dcterms:created xsi:type="dcterms:W3CDTF">2017-05-30T23:22:00Z</dcterms:created>
  <dcterms:modified xsi:type="dcterms:W3CDTF">2017-06-26T12:54:00Z</dcterms:modified>
</cp:coreProperties>
</file>