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Default="007B4B1C" w:rsidP="00211E2A">
      <w:pPr>
        <w:shd w:val="clear" w:color="auto" w:fill="FFFFFF"/>
        <w:spacing w:after="0" w:line="240" w:lineRule="auto"/>
        <w:jc w:val="both"/>
        <w:rPr>
          <w:rFonts w:ascii="Arial" w:hAnsi="Arial" w:cs="Arial"/>
          <w:sz w:val="20"/>
          <w:szCs w:val="20"/>
        </w:rPr>
      </w:pPr>
      <w:r w:rsidRPr="007B4B1C">
        <w:rPr>
          <w:rFonts w:ascii="Arial" w:hAnsi="Arial" w:cs="Arial"/>
          <w:noProof/>
          <w:sz w:val="20"/>
          <w:szCs w:val="20"/>
          <w:lang w:eastAsia="es-BO"/>
        </w:rPr>
        <w:drawing>
          <wp:inline distT="0" distB="0" distL="0" distR="0">
            <wp:extent cx="876300" cy="596136"/>
            <wp:effectExtent l="0" t="0" r="0" b="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2" cy="603389"/>
                    </a:xfrm>
                    <a:prstGeom prst="rect">
                      <a:avLst/>
                    </a:prstGeom>
                    <a:noFill/>
                    <a:ln>
                      <a:noFill/>
                    </a:ln>
                  </pic:spPr>
                </pic:pic>
              </a:graphicData>
            </a:graphic>
          </wp:inline>
        </w:drawing>
      </w:r>
    </w:p>
    <w:p w:rsidR="007B4B1C" w:rsidRPr="006829A9" w:rsidRDefault="007B4B1C" w:rsidP="00211E2A">
      <w:pPr>
        <w:shd w:val="clear" w:color="auto" w:fill="FFFFFF"/>
        <w:spacing w:after="0" w:line="240" w:lineRule="auto"/>
        <w:jc w:val="both"/>
        <w:rPr>
          <w:rFonts w:ascii="Arial" w:hAnsi="Arial" w:cs="Arial"/>
          <w:sz w:val="20"/>
          <w:szCs w:val="20"/>
        </w:rPr>
      </w:pPr>
    </w:p>
    <w:p w:rsidR="00211E2A" w:rsidRPr="00AA61D1" w:rsidRDefault="00B46B98" w:rsidP="00211E2A">
      <w:pPr>
        <w:shd w:val="clear" w:color="auto" w:fill="FFFFFF"/>
        <w:spacing w:after="0" w:line="240" w:lineRule="auto"/>
        <w:jc w:val="both"/>
        <w:rPr>
          <w:rFonts w:ascii="Arial" w:hAnsi="Arial" w:cs="Arial"/>
          <w:b/>
          <w:sz w:val="20"/>
          <w:szCs w:val="20"/>
        </w:rPr>
      </w:pPr>
      <w:r>
        <w:rPr>
          <w:rFonts w:ascii="Arial" w:eastAsia="Times New Roman" w:hAnsi="Arial" w:cs="Arial"/>
          <w:b/>
          <w:color w:val="000000"/>
          <w:sz w:val="20"/>
          <w:szCs w:val="20"/>
          <w:lang w:eastAsia="es-BO"/>
        </w:rPr>
        <w:t>MATRIMONIO</w:t>
      </w:r>
      <w:r w:rsidR="00822ABA" w:rsidRPr="00AA61D1">
        <w:rPr>
          <w:rFonts w:ascii="Arial" w:eastAsia="Times New Roman" w:hAnsi="Arial" w:cs="Arial"/>
          <w:b/>
          <w:color w:val="000000"/>
          <w:sz w:val="20"/>
          <w:szCs w:val="20"/>
          <w:lang w:eastAsia="es-BO"/>
        </w:rPr>
        <w:t xml:space="preserve"> </w:t>
      </w:r>
      <w:r>
        <w:rPr>
          <w:rFonts w:ascii="Arial" w:eastAsia="Times New Roman" w:hAnsi="Arial" w:cs="Arial"/>
          <w:b/>
          <w:color w:val="000000"/>
          <w:sz w:val="20"/>
          <w:szCs w:val="20"/>
          <w:lang w:eastAsia="es-BO"/>
        </w:rPr>
        <w:t>DE</w:t>
      </w:r>
      <w:r w:rsidR="00822ABA" w:rsidRPr="00AA61D1">
        <w:rPr>
          <w:rFonts w:ascii="Arial" w:eastAsia="Times New Roman" w:hAnsi="Arial" w:cs="Arial"/>
          <w:b/>
          <w:color w:val="000000"/>
          <w:sz w:val="20"/>
          <w:szCs w:val="20"/>
          <w:lang w:eastAsia="es-BO"/>
        </w:rPr>
        <w:t xml:space="preserve"> P</w:t>
      </w:r>
      <w:r w:rsidR="00211E2A" w:rsidRPr="00AA61D1">
        <w:rPr>
          <w:rFonts w:ascii="Arial" w:eastAsia="Times New Roman" w:hAnsi="Arial" w:cs="Arial"/>
          <w:b/>
          <w:color w:val="000000"/>
          <w:sz w:val="20"/>
          <w:szCs w:val="20"/>
          <w:lang w:eastAsia="es-BO"/>
        </w:rPr>
        <w:t>AREJA</w:t>
      </w:r>
      <w:r w:rsidR="00822ABA" w:rsidRPr="00AA61D1">
        <w:rPr>
          <w:rFonts w:ascii="Arial" w:eastAsia="Times New Roman" w:hAnsi="Arial" w:cs="Arial"/>
          <w:b/>
          <w:color w:val="000000"/>
          <w:sz w:val="20"/>
          <w:szCs w:val="20"/>
          <w:lang w:eastAsia="es-BO"/>
        </w:rPr>
        <w:t>S DEL MISMO SEXO</w:t>
      </w:r>
      <w:r w:rsidR="007B4B1C">
        <w:rPr>
          <w:rFonts w:ascii="Arial" w:eastAsia="Times New Roman" w:hAnsi="Arial" w:cs="Arial"/>
          <w:b/>
          <w:color w:val="000000"/>
          <w:sz w:val="20"/>
          <w:szCs w:val="20"/>
          <w:lang w:eastAsia="es-BO"/>
        </w:rPr>
        <w:t xml:space="preserve"> </w:t>
      </w:r>
      <w:r>
        <w:rPr>
          <w:rFonts w:ascii="Arial" w:eastAsia="Times New Roman" w:hAnsi="Arial" w:cs="Arial"/>
          <w:b/>
          <w:color w:val="000000"/>
          <w:sz w:val="20"/>
          <w:szCs w:val="20"/>
          <w:lang w:eastAsia="es-BO"/>
        </w:rPr>
        <w:t>10</w:t>
      </w:r>
      <w:r w:rsidR="00211E2A" w:rsidRPr="00AA61D1">
        <w:rPr>
          <w:rStyle w:val="Refdenotaalpie"/>
          <w:rFonts w:ascii="Arial" w:eastAsia="Times New Roman" w:hAnsi="Arial" w:cs="Arial"/>
          <w:b/>
          <w:color w:val="000000"/>
          <w:sz w:val="20"/>
          <w:szCs w:val="20"/>
          <w:lang w:eastAsia="es-BO"/>
        </w:rPr>
        <w:footnoteReference w:id="1"/>
      </w:r>
    </w:p>
    <w:p w:rsidR="00822ABA" w:rsidRPr="00F63847" w:rsidRDefault="00F63847" w:rsidP="00822ABA">
      <w:pPr>
        <w:shd w:val="clear" w:color="auto" w:fill="FFFFFF"/>
        <w:spacing w:after="0" w:line="240" w:lineRule="auto"/>
        <w:jc w:val="both"/>
        <w:rPr>
          <w:rFonts w:ascii="Arial" w:eastAsia="Times New Roman" w:hAnsi="Arial" w:cs="Arial"/>
          <w:color w:val="000000"/>
          <w:sz w:val="20"/>
          <w:szCs w:val="20"/>
          <w:lang w:eastAsia="es-BO"/>
        </w:rPr>
      </w:pPr>
      <w:bookmarkStart w:id="0" w:name="_Toc441661003"/>
      <w:r w:rsidRPr="00F63847">
        <w:rPr>
          <w:rFonts w:ascii="Arial" w:eastAsia="Times New Roman" w:hAnsi="Arial" w:cs="Arial"/>
          <w:color w:val="000000"/>
          <w:sz w:val="20"/>
          <w:szCs w:val="20"/>
          <w:lang w:eastAsia="es-BO"/>
        </w:rPr>
        <w:t xml:space="preserve">Primera Sala de la </w:t>
      </w:r>
      <w:r w:rsidR="007B4B1C" w:rsidRPr="00F63847">
        <w:rPr>
          <w:rFonts w:ascii="Arial" w:eastAsia="Times New Roman" w:hAnsi="Arial" w:cs="Arial"/>
          <w:color w:val="000000"/>
          <w:sz w:val="20"/>
          <w:szCs w:val="20"/>
          <w:lang w:eastAsia="es-BO"/>
        </w:rPr>
        <w:t>Suprema Corte de Justicia de la Nación, México</w:t>
      </w:r>
    </w:p>
    <w:bookmarkEnd w:id="0"/>
    <w:p w:rsidR="00822ABA" w:rsidRPr="00F63847" w:rsidRDefault="00F63847" w:rsidP="00822ABA">
      <w:pPr>
        <w:shd w:val="clear" w:color="auto" w:fill="FFFFFF"/>
        <w:spacing w:after="0" w:line="240" w:lineRule="auto"/>
        <w:jc w:val="both"/>
        <w:rPr>
          <w:rFonts w:ascii="Arial" w:eastAsia="Times New Roman" w:hAnsi="Arial" w:cs="Arial"/>
          <w:color w:val="000000"/>
          <w:sz w:val="20"/>
          <w:szCs w:val="20"/>
          <w:lang w:eastAsia="es-BO"/>
        </w:rPr>
      </w:pPr>
      <w:r w:rsidRPr="00F63847">
        <w:rPr>
          <w:rFonts w:ascii="Arial" w:hAnsi="Arial" w:cs="Arial"/>
          <w:sz w:val="20"/>
          <w:szCs w:val="20"/>
        </w:rPr>
        <w:t>Amparo</w:t>
      </w:r>
      <w:r w:rsidR="00EF7CE6">
        <w:rPr>
          <w:rFonts w:ascii="Arial" w:hAnsi="Arial" w:cs="Arial"/>
          <w:sz w:val="20"/>
          <w:szCs w:val="20"/>
        </w:rPr>
        <w:t xml:space="preserve"> en Revisión 263</w:t>
      </w:r>
      <w:r w:rsidR="007B4B1C" w:rsidRPr="00F63847">
        <w:rPr>
          <w:rFonts w:ascii="Arial" w:hAnsi="Arial" w:cs="Arial"/>
          <w:sz w:val="20"/>
          <w:szCs w:val="20"/>
        </w:rPr>
        <w:t>/2014</w:t>
      </w:r>
    </w:p>
    <w:p w:rsidR="00211E2A" w:rsidRPr="00996FF0" w:rsidRDefault="007B4B1C" w:rsidP="00211E2A">
      <w:pPr>
        <w:shd w:val="clear" w:color="auto" w:fill="FFFFFF"/>
        <w:spacing w:after="0" w:line="240" w:lineRule="auto"/>
        <w:jc w:val="both"/>
        <w:rPr>
          <w:rFonts w:ascii="Arial" w:eastAsia="Times New Roman" w:hAnsi="Arial" w:cs="Arial"/>
          <w:color w:val="000000"/>
          <w:sz w:val="20"/>
          <w:szCs w:val="20"/>
          <w:lang w:eastAsia="es-BO"/>
        </w:rPr>
      </w:pPr>
      <w:r w:rsidRPr="00F63847">
        <w:rPr>
          <w:rFonts w:ascii="Arial" w:eastAsia="Times New Roman" w:hAnsi="Arial" w:cs="Arial"/>
          <w:color w:val="000000"/>
          <w:sz w:val="20"/>
          <w:szCs w:val="20"/>
          <w:lang w:eastAsia="es-BO"/>
        </w:rPr>
        <w:t>F</w:t>
      </w:r>
      <w:r w:rsidR="00F63847" w:rsidRPr="00F63847">
        <w:rPr>
          <w:rFonts w:ascii="Arial" w:eastAsia="Times New Roman" w:hAnsi="Arial" w:cs="Arial"/>
          <w:color w:val="000000"/>
          <w:sz w:val="20"/>
          <w:szCs w:val="20"/>
          <w:lang w:eastAsia="es-BO"/>
        </w:rPr>
        <w:t>echa: 24/09/2014</w:t>
      </w:r>
    </w:p>
    <w:p w:rsidR="00211E2A" w:rsidRPr="00996FF0"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996FF0">
        <w:rPr>
          <w:rFonts w:ascii="Arial" w:eastAsia="Times New Roman" w:hAnsi="Arial" w:cs="Arial"/>
          <w:b/>
          <w:color w:val="000000"/>
          <w:sz w:val="20"/>
          <w:szCs w:val="20"/>
          <w:lang w:eastAsia="es-BO"/>
        </w:rPr>
        <w:t>Antecedentes</w:t>
      </w:r>
    </w:p>
    <w:p w:rsidR="00F63847" w:rsidRPr="00F63847" w:rsidRDefault="00F63847" w:rsidP="009609F8">
      <w:pPr>
        <w:pStyle w:val="Prrafodelista"/>
        <w:numPr>
          <w:ilvl w:val="0"/>
          <w:numId w:val="2"/>
        </w:numPr>
        <w:shd w:val="clear" w:color="auto" w:fill="FFFFFF"/>
        <w:spacing w:line="240" w:lineRule="auto"/>
        <w:rPr>
          <w:i w:val="0"/>
          <w:color w:val="2F2F2F"/>
          <w:sz w:val="20"/>
          <w:szCs w:val="20"/>
          <w:lang w:eastAsia="es-BO"/>
        </w:rPr>
      </w:pPr>
      <w:r w:rsidRPr="00F63847">
        <w:rPr>
          <w:i w:val="0"/>
          <w:color w:val="2F2F2F"/>
          <w:sz w:val="20"/>
          <w:szCs w:val="20"/>
          <w:lang w:eastAsia="es-BO"/>
        </w:rPr>
        <w:t>Demanda de amparo. **********, ********** y **********, designando como representante común a la primera de los citados, presentaron escrito ante la Oficina de Correspondencia Común de los Juzgados de Distrito en el Estado de Sinaloa, el diecinueve de abril de dos mil trece, mediante el cual demandaron el amparo y la protección de la Justicia Federal, en contra del acto y autoridad que a continuación se indican:</w:t>
      </w:r>
    </w:p>
    <w:p w:rsidR="00F63847" w:rsidRPr="00F63847" w:rsidRDefault="00F63847" w:rsidP="009609F8">
      <w:pPr>
        <w:spacing w:after="0" w:line="240" w:lineRule="auto"/>
        <w:ind w:firstLine="709"/>
        <w:jc w:val="both"/>
        <w:rPr>
          <w:rFonts w:ascii="Arial" w:hAnsi="Arial" w:cs="Arial"/>
          <w:b/>
          <w:sz w:val="20"/>
          <w:szCs w:val="20"/>
        </w:rPr>
      </w:pPr>
      <w:r w:rsidRPr="00F63847">
        <w:rPr>
          <w:rFonts w:ascii="Arial" w:hAnsi="Arial" w:cs="Arial"/>
          <w:b/>
          <w:sz w:val="20"/>
          <w:szCs w:val="20"/>
        </w:rPr>
        <w:t>AUTORIDAD RESPONSABLE:</w:t>
      </w:r>
    </w:p>
    <w:p w:rsidR="00F63847" w:rsidRPr="00F63847" w:rsidRDefault="00F63847" w:rsidP="009609F8">
      <w:pPr>
        <w:pStyle w:val="Prrafodelista"/>
        <w:spacing w:line="240" w:lineRule="auto"/>
        <w:ind w:left="709" w:right="0" w:firstLine="0"/>
        <w:rPr>
          <w:b/>
          <w:sz w:val="20"/>
          <w:szCs w:val="20"/>
        </w:rPr>
      </w:pPr>
      <w:r w:rsidRPr="00F63847">
        <w:rPr>
          <w:i w:val="0"/>
          <w:sz w:val="20"/>
          <w:szCs w:val="20"/>
        </w:rPr>
        <w:t>H. Congreso del Estado Libre y Soberano de Sinaloa.</w:t>
      </w:r>
    </w:p>
    <w:p w:rsidR="00F63847" w:rsidRPr="00F63847" w:rsidRDefault="00F63847" w:rsidP="009609F8">
      <w:pPr>
        <w:pStyle w:val="corte4fondoCar"/>
        <w:spacing w:line="240" w:lineRule="auto"/>
        <w:ind w:left="709" w:firstLine="0"/>
        <w:rPr>
          <w:rFonts w:cs="Arial"/>
          <w:b/>
          <w:sz w:val="20"/>
        </w:rPr>
      </w:pPr>
      <w:r w:rsidRPr="00F63847">
        <w:rPr>
          <w:rFonts w:cs="Arial"/>
          <w:b/>
          <w:sz w:val="20"/>
        </w:rPr>
        <w:t>ACTO RECLAMADO:</w:t>
      </w:r>
    </w:p>
    <w:p w:rsidR="00F63847" w:rsidRPr="00F63847" w:rsidRDefault="00F63847" w:rsidP="009609F8">
      <w:pPr>
        <w:pStyle w:val="corte5transcripcion"/>
        <w:spacing w:line="240" w:lineRule="auto"/>
        <w:rPr>
          <w:sz w:val="20"/>
          <w:szCs w:val="20"/>
        </w:rPr>
      </w:pPr>
      <w:r w:rsidRPr="00F63847">
        <w:rPr>
          <w:sz w:val="20"/>
          <w:szCs w:val="20"/>
        </w:rPr>
        <w:t>“La expedición de las porciones normativas señaladas en los siguientes artículos del Código Familiar del Estado de Sinaloa.</w:t>
      </w:r>
    </w:p>
    <w:p w:rsidR="00F63847" w:rsidRPr="00F63847" w:rsidRDefault="00F63847" w:rsidP="009609F8">
      <w:pPr>
        <w:pStyle w:val="corte5transcripcion"/>
        <w:spacing w:line="240" w:lineRule="auto"/>
        <w:rPr>
          <w:sz w:val="20"/>
          <w:szCs w:val="20"/>
        </w:rPr>
      </w:pPr>
      <w:r w:rsidRPr="00F63847">
        <w:rPr>
          <w:sz w:val="20"/>
          <w:szCs w:val="20"/>
        </w:rPr>
        <w:t xml:space="preserve">Artículo 40. El matrimonio es una </w:t>
      </w:r>
      <w:r w:rsidRPr="00F63847">
        <w:rPr>
          <w:sz w:val="20"/>
          <w:szCs w:val="20"/>
          <w:u w:val="single"/>
        </w:rPr>
        <w:t>institución por medio de la cual se establece la unión voluntaria y jurídica de un hombre y una mujer</w:t>
      </w:r>
      <w:r w:rsidRPr="00F63847">
        <w:rPr>
          <w:sz w:val="20"/>
          <w:szCs w:val="20"/>
        </w:rPr>
        <w:t>, con igualdad de derechos, deberes y obligaciones, con la posibilidad de generar la reproducción humana de manera libre, responsable e informada.</w:t>
      </w:r>
    </w:p>
    <w:p w:rsidR="00F63847" w:rsidRPr="00F63847" w:rsidRDefault="00F63847" w:rsidP="009609F8">
      <w:pPr>
        <w:pStyle w:val="corte5transcripcion"/>
        <w:spacing w:line="240" w:lineRule="auto"/>
        <w:rPr>
          <w:sz w:val="20"/>
          <w:szCs w:val="20"/>
        </w:rPr>
      </w:pPr>
      <w:r w:rsidRPr="00F63847">
        <w:rPr>
          <w:sz w:val="20"/>
          <w:szCs w:val="20"/>
        </w:rPr>
        <w:t>Cualquier condición contraria a estos fines, establecida por los cónyuges, se tendrá por no puesta.</w:t>
      </w:r>
    </w:p>
    <w:p w:rsidR="00F63847" w:rsidRPr="00F63847" w:rsidRDefault="00F63847" w:rsidP="009609F8">
      <w:pPr>
        <w:pStyle w:val="corte5transcripcion"/>
        <w:spacing w:line="240" w:lineRule="auto"/>
        <w:rPr>
          <w:sz w:val="20"/>
          <w:szCs w:val="20"/>
        </w:rPr>
      </w:pPr>
      <w:r w:rsidRPr="00F63847">
        <w:rPr>
          <w:sz w:val="20"/>
          <w:szCs w:val="20"/>
        </w:rPr>
        <w:t xml:space="preserve">Artículo 165. </w:t>
      </w:r>
      <w:r w:rsidRPr="00F63847">
        <w:rPr>
          <w:sz w:val="20"/>
          <w:szCs w:val="20"/>
          <w:u w:val="single"/>
        </w:rPr>
        <w:t>El concubinato es la unión de un hombre y una mujer quienes</w:t>
      </w:r>
      <w:r w:rsidRPr="00F63847">
        <w:rPr>
          <w:sz w:val="20"/>
          <w:szCs w:val="20"/>
        </w:rPr>
        <w:t>, libres de matrimonio, hacen vida en común de manera notoria, permanente, han procreado hijos o han vivido públicamente como marido y mujer durante dos años continuos o más.</w:t>
      </w:r>
    </w:p>
    <w:p w:rsidR="00F63847" w:rsidRPr="00F63847" w:rsidRDefault="00F63847" w:rsidP="009609F8">
      <w:pPr>
        <w:pStyle w:val="corte5transcripcion"/>
        <w:spacing w:line="240" w:lineRule="auto"/>
        <w:rPr>
          <w:sz w:val="20"/>
          <w:szCs w:val="20"/>
        </w:rPr>
      </w:pPr>
      <w:r w:rsidRPr="00F63847">
        <w:rPr>
          <w:sz w:val="20"/>
          <w:szCs w:val="20"/>
        </w:rPr>
        <w:t>El concubinato genera entre los concubinos derechos alimentarios y sucesorios, con independencia de los demás reconocidos en este Código o en otras leyes.</w:t>
      </w:r>
    </w:p>
    <w:p w:rsidR="00F63847" w:rsidRPr="00F63847" w:rsidRDefault="00F63847" w:rsidP="009609F8">
      <w:pPr>
        <w:pStyle w:val="corte5transcripcion"/>
        <w:spacing w:line="240" w:lineRule="auto"/>
        <w:rPr>
          <w:sz w:val="20"/>
          <w:szCs w:val="20"/>
          <w:highlight w:val="green"/>
        </w:rPr>
      </w:pPr>
      <w:r w:rsidRPr="00F63847">
        <w:rPr>
          <w:sz w:val="20"/>
          <w:szCs w:val="20"/>
        </w:rPr>
        <w:t>No se considerará concubinato, cuando haya varias uniones de este tipo, con una misma persona”.</w:t>
      </w:r>
    </w:p>
    <w:p w:rsidR="00F63847" w:rsidRPr="00F63847" w:rsidRDefault="00F63847" w:rsidP="009609F8">
      <w:pPr>
        <w:pStyle w:val="Prrafodelista"/>
        <w:numPr>
          <w:ilvl w:val="0"/>
          <w:numId w:val="2"/>
        </w:numPr>
        <w:shd w:val="clear" w:color="auto" w:fill="FFFFFF"/>
        <w:spacing w:line="240" w:lineRule="auto"/>
        <w:rPr>
          <w:i w:val="0"/>
          <w:color w:val="2F2F2F"/>
          <w:sz w:val="20"/>
          <w:szCs w:val="20"/>
          <w:lang w:eastAsia="es-BO"/>
        </w:rPr>
      </w:pPr>
      <w:r w:rsidRPr="00F63847">
        <w:rPr>
          <w:i w:val="0"/>
          <w:color w:val="2F2F2F"/>
          <w:sz w:val="20"/>
          <w:szCs w:val="20"/>
          <w:lang w:eastAsia="es-BO"/>
        </w:rPr>
        <w:t xml:space="preserve">La parte quejosa estimó violado en su perjuicio los derechos fundamentales contenidos en los artículos </w:t>
      </w:r>
      <w:r w:rsidRPr="00F63847">
        <w:rPr>
          <w:i w:val="0"/>
          <w:color w:val="2F2F2F"/>
          <w:sz w:val="20"/>
          <w:szCs w:val="20"/>
          <w:lang w:val="es-BO" w:eastAsia="es-BO"/>
        </w:rPr>
        <w:t>1°, 4° y 133</w:t>
      </w:r>
      <w:r w:rsidRPr="00F63847">
        <w:rPr>
          <w:i w:val="0"/>
          <w:color w:val="2F2F2F"/>
          <w:sz w:val="20"/>
          <w:szCs w:val="20"/>
          <w:lang w:eastAsia="es-BO"/>
        </w:rPr>
        <w:t xml:space="preserve"> de la Constitución Política de los Estados Unidos Mexicanos, señaló los antecedentes del caso y los conceptos de violación que consideró pertinentes.</w:t>
      </w:r>
    </w:p>
    <w:p w:rsidR="00211E2A" w:rsidRPr="00996FF0" w:rsidRDefault="00211E2A" w:rsidP="009609F8">
      <w:pPr>
        <w:shd w:val="clear" w:color="auto" w:fill="FFFFFF"/>
        <w:spacing w:after="0" w:line="240" w:lineRule="auto"/>
        <w:jc w:val="both"/>
        <w:rPr>
          <w:rFonts w:ascii="Arial" w:eastAsia="Times New Roman" w:hAnsi="Arial" w:cs="Arial"/>
          <w:b/>
          <w:color w:val="000000"/>
          <w:sz w:val="20"/>
          <w:szCs w:val="20"/>
          <w:lang w:eastAsia="es-BO"/>
        </w:rPr>
      </w:pPr>
      <w:r w:rsidRPr="00996FF0">
        <w:rPr>
          <w:rFonts w:ascii="Arial" w:eastAsia="Times New Roman" w:hAnsi="Arial" w:cs="Arial"/>
          <w:b/>
          <w:color w:val="000000"/>
          <w:sz w:val="20"/>
          <w:szCs w:val="20"/>
          <w:lang w:eastAsia="es-BO"/>
        </w:rPr>
        <w:t xml:space="preserve">Sentencia </w:t>
      </w:r>
    </w:p>
    <w:p w:rsidR="00F63847" w:rsidRPr="00F63847" w:rsidRDefault="00F63847" w:rsidP="009609F8">
      <w:pPr>
        <w:pStyle w:val="Prrafodelista"/>
        <w:tabs>
          <w:tab w:val="left" w:pos="0"/>
        </w:tabs>
        <w:spacing w:line="240" w:lineRule="auto"/>
        <w:ind w:left="0" w:right="51" w:firstLine="0"/>
        <w:contextualSpacing/>
        <w:rPr>
          <w:i w:val="0"/>
          <w:sz w:val="20"/>
          <w:szCs w:val="20"/>
        </w:rPr>
      </w:pPr>
      <w:r w:rsidRPr="00F63847">
        <w:rPr>
          <w:i w:val="0"/>
          <w:sz w:val="20"/>
          <w:szCs w:val="20"/>
        </w:rPr>
        <w:t xml:space="preserve">De acuerdo con lo expuesto en el estudio del presente asunto, debe declararse la inconstitucionalidad de las porciones normativas de los artículos </w:t>
      </w:r>
      <w:r w:rsidRPr="00F63847">
        <w:rPr>
          <w:i w:val="0"/>
          <w:sz w:val="20"/>
          <w:szCs w:val="20"/>
          <w:lang w:val="es-ES_tradnl"/>
        </w:rPr>
        <w:t>40 y 165 del Código Familiar del Estado de Sinaloa, que excluyen injustificadamente a las parejas homosexuales del acceso al matrimonio y al concubinato: las referencias al sexo de los contrayentes y de los implicados a tener una vida en común.</w:t>
      </w:r>
    </w:p>
    <w:p w:rsidR="00F63847" w:rsidRPr="00F63847" w:rsidRDefault="00F63847" w:rsidP="009609F8">
      <w:pPr>
        <w:pStyle w:val="Prrafodelista"/>
        <w:spacing w:line="240" w:lineRule="auto"/>
        <w:rPr>
          <w:i w:val="0"/>
          <w:sz w:val="20"/>
          <w:szCs w:val="20"/>
        </w:rPr>
      </w:pPr>
    </w:p>
    <w:p w:rsidR="00F63847" w:rsidRDefault="00F63847" w:rsidP="009609F8">
      <w:pPr>
        <w:pStyle w:val="Prrafodelista"/>
        <w:tabs>
          <w:tab w:val="left" w:pos="0"/>
        </w:tabs>
        <w:spacing w:line="240" w:lineRule="auto"/>
        <w:ind w:left="0" w:right="51" w:firstLine="0"/>
        <w:contextualSpacing/>
        <w:rPr>
          <w:i w:val="0"/>
          <w:sz w:val="20"/>
          <w:szCs w:val="20"/>
        </w:rPr>
      </w:pPr>
      <w:r w:rsidRPr="00F63847">
        <w:rPr>
          <w:i w:val="0"/>
          <w:sz w:val="20"/>
          <w:szCs w:val="20"/>
        </w:rPr>
        <w:lastRenderedPageBreak/>
        <w:t>Los efectos del presente amparo vinculan a todas las autoridades del Estado de Sinaloa, a tomar en consideración la inconstitucionalidad de los mensajes transmitidos por los preceptos impugnados, por lo cual no podrán utilizarlos como base para negar a los quejosos beneficios o establecer cargas relacionados con la regulación del matrimonio y/o del concubinato, lo que es un efecto propio de la concesión de un amparo contra leyes, que es la inaplicación futura de la ley. En este orden de ideas, los quejosos no deben ser expuestos a los mensajes discriminadores de las normas, tanto en el presente como en el futuro</w:t>
      </w:r>
    </w:p>
    <w:p w:rsidR="00F63847" w:rsidRPr="00F63847" w:rsidRDefault="00F63847" w:rsidP="009609F8">
      <w:pPr>
        <w:pStyle w:val="Prrafodelista"/>
        <w:tabs>
          <w:tab w:val="left" w:pos="0"/>
        </w:tabs>
        <w:spacing w:line="240" w:lineRule="auto"/>
        <w:ind w:left="0" w:right="51" w:firstLine="0"/>
        <w:contextualSpacing/>
        <w:rPr>
          <w:i w:val="0"/>
          <w:sz w:val="20"/>
          <w:szCs w:val="20"/>
        </w:rPr>
      </w:pPr>
      <w:r w:rsidRPr="00F63847">
        <w:rPr>
          <w:i w:val="0"/>
          <w:sz w:val="20"/>
          <w:szCs w:val="20"/>
        </w:rPr>
        <w:t xml:space="preserve">La vinculación a otras autoridades distintas a las señaladas como responsables está sustentado en diversos precedentes de esta Suprema Corte, como se desprenden de la jurisprudencia de esta Primera Sala, de rubro: </w:t>
      </w:r>
      <w:r w:rsidRPr="00F63847">
        <w:rPr>
          <w:sz w:val="20"/>
          <w:szCs w:val="20"/>
        </w:rPr>
        <w:t>“AUTORIDADES NO SEÑALADAS COMO RESPONSABLES. ESTÁN OBLIGADAS A REALIZAR LOS ACTOS NECESARIOS PARA EL EFICAZ CUMPLIMIENTO DE LA EJECUTORIA DE AMPARO”</w:t>
      </w:r>
      <w:r w:rsidRPr="00F63847">
        <w:rPr>
          <w:i w:val="0"/>
          <w:sz w:val="20"/>
          <w:szCs w:val="20"/>
        </w:rPr>
        <w:t xml:space="preserve">, así, como la jurisprudencia de la Segunda Sala, la cual se comparte en este aspecto, de rubro: </w:t>
      </w:r>
      <w:r w:rsidRPr="00F63847">
        <w:rPr>
          <w:sz w:val="20"/>
          <w:szCs w:val="20"/>
        </w:rPr>
        <w:t>“SENTENCIAS DE AMPARO. PARA LOGRAR SU EFICAZ CUMPLIMIENTO, LA SUPREMA CORTE DE JUSTICIA TIENE FACULTADES PARA PRECISAR SU ALCANCE, SEÑALAR LAS AUTORIDADES VINCULADAS A CUMPLIRLAS Y LA MEDIDA EN QUE CADA UNA DE ELLAS DEBE PARTICIPAR”.</w:t>
      </w:r>
    </w:p>
    <w:p w:rsidR="00F63847" w:rsidRDefault="00F63847" w:rsidP="009609F8">
      <w:pPr>
        <w:pStyle w:val="Prrafodelista"/>
        <w:tabs>
          <w:tab w:val="left" w:pos="0"/>
        </w:tabs>
        <w:spacing w:line="240" w:lineRule="auto"/>
        <w:ind w:left="0" w:right="51" w:firstLine="0"/>
        <w:contextualSpacing/>
        <w:rPr>
          <w:i w:val="0"/>
          <w:sz w:val="20"/>
          <w:szCs w:val="20"/>
        </w:rPr>
      </w:pPr>
      <w:r w:rsidRPr="00F63847">
        <w:rPr>
          <w:i w:val="0"/>
          <w:sz w:val="20"/>
          <w:szCs w:val="20"/>
        </w:rPr>
        <w:t>En consecuencia, esta Primera Sala de la Suprema Corte de Justicia de la Nación,</w:t>
      </w:r>
    </w:p>
    <w:p w:rsidR="00F63847" w:rsidRPr="00F63847" w:rsidRDefault="00F63847" w:rsidP="009609F8">
      <w:pPr>
        <w:pStyle w:val="TEXTONORMAL"/>
        <w:spacing w:line="240" w:lineRule="auto"/>
        <w:ind w:hanging="11"/>
        <w:jc w:val="center"/>
        <w:rPr>
          <w:b/>
          <w:sz w:val="20"/>
          <w:szCs w:val="20"/>
        </w:rPr>
      </w:pPr>
      <w:bookmarkStart w:id="1" w:name="_GoBack"/>
      <w:bookmarkEnd w:id="1"/>
      <w:r w:rsidRPr="00F63847">
        <w:rPr>
          <w:b/>
          <w:sz w:val="20"/>
          <w:szCs w:val="20"/>
        </w:rPr>
        <w:t>RESUELVE:</w:t>
      </w:r>
    </w:p>
    <w:p w:rsidR="00F63847" w:rsidRPr="00F63847" w:rsidRDefault="00F63847" w:rsidP="009609F8">
      <w:pPr>
        <w:pStyle w:val="corte4fondoCar"/>
        <w:spacing w:line="240" w:lineRule="auto"/>
        <w:ind w:firstLine="0"/>
        <w:rPr>
          <w:sz w:val="20"/>
        </w:rPr>
      </w:pPr>
      <w:r w:rsidRPr="00F63847">
        <w:rPr>
          <w:b/>
          <w:sz w:val="20"/>
        </w:rPr>
        <w:t>PRIMERO.-</w:t>
      </w:r>
      <w:r w:rsidRPr="00F63847">
        <w:rPr>
          <w:sz w:val="20"/>
        </w:rPr>
        <w:t xml:space="preserve"> Se revoca la sentencia recurrida.</w:t>
      </w:r>
    </w:p>
    <w:p w:rsidR="00F63847" w:rsidRPr="00F63847" w:rsidRDefault="00F63847" w:rsidP="009609F8">
      <w:pPr>
        <w:pStyle w:val="corte4fondoCar"/>
        <w:spacing w:line="240" w:lineRule="auto"/>
        <w:ind w:firstLine="0"/>
        <w:rPr>
          <w:rFonts w:cs="Arial"/>
          <w:sz w:val="20"/>
        </w:rPr>
      </w:pPr>
      <w:r w:rsidRPr="00F63847">
        <w:rPr>
          <w:b/>
          <w:sz w:val="20"/>
        </w:rPr>
        <w:t>SEGUNDO.-</w:t>
      </w:r>
      <w:r w:rsidRPr="00F63847">
        <w:rPr>
          <w:sz w:val="20"/>
        </w:rPr>
        <w:t xml:space="preserve"> La Justicia de la Unión ampara y protege a </w:t>
      </w:r>
      <w:r w:rsidRPr="00F63847">
        <w:rPr>
          <w:sz w:val="20"/>
          <w:lang w:val="es-MX"/>
        </w:rPr>
        <w:t>**********, ********** y **********</w:t>
      </w:r>
      <w:r w:rsidRPr="00F63847">
        <w:rPr>
          <w:sz w:val="20"/>
        </w:rPr>
        <w:t>, en contra de los artículos 40 y 165 del Código Familiar del Estado de Sinaloa, en términos del último apartado de esta ejecutoria.</w:t>
      </w:r>
    </w:p>
    <w:p w:rsidR="00211E2A" w:rsidRPr="00F63847" w:rsidRDefault="00211E2A" w:rsidP="009609F8">
      <w:pPr>
        <w:shd w:val="clear" w:color="auto" w:fill="FFFFFF"/>
        <w:spacing w:after="0" w:line="240" w:lineRule="auto"/>
        <w:ind w:hanging="432"/>
        <w:jc w:val="both"/>
        <w:rPr>
          <w:rFonts w:ascii="Arial" w:hAnsi="Arial" w:cs="Arial"/>
          <w:sz w:val="20"/>
          <w:szCs w:val="20"/>
          <w:lang w:val="es-ES_tradnl"/>
        </w:rPr>
      </w:pPr>
    </w:p>
    <w:p w:rsidR="00AB24C6" w:rsidRPr="00F63847" w:rsidRDefault="00AB24C6" w:rsidP="009609F8">
      <w:pPr>
        <w:spacing w:after="0" w:line="240" w:lineRule="auto"/>
        <w:rPr>
          <w:rFonts w:ascii="Arial" w:hAnsi="Arial" w:cs="Arial"/>
          <w:sz w:val="20"/>
          <w:szCs w:val="20"/>
        </w:rPr>
      </w:pPr>
    </w:p>
    <w:sectPr w:rsidR="00AB24C6" w:rsidRPr="00F638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75" w:rsidRDefault="00815F75" w:rsidP="00211E2A">
      <w:pPr>
        <w:spacing w:after="0" w:line="240" w:lineRule="auto"/>
      </w:pPr>
      <w:r>
        <w:separator/>
      </w:r>
    </w:p>
  </w:endnote>
  <w:endnote w:type="continuationSeparator" w:id="0">
    <w:p w:rsidR="00815F75" w:rsidRDefault="00815F75"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75" w:rsidRDefault="00815F75" w:rsidP="00211E2A">
      <w:pPr>
        <w:spacing w:after="0" w:line="240" w:lineRule="auto"/>
      </w:pPr>
      <w:r>
        <w:separator/>
      </w:r>
    </w:p>
  </w:footnote>
  <w:footnote w:type="continuationSeparator" w:id="0">
    <w:p w:rsidR="00815F75" w:rsidRDefault="00815F75" w:rsidP="00211E2A">
      <w:pPr>
        <w:spacing w:after="0" w:line="240" w:lineRule="auto"/>
      </w:pPr>
      <w:r>
        <w:continuationSeparator/>
      </w:r>
    </w:p>
  </w:footnote>
  <w:footnote w:id="1">
    <w:p w:rsidR="00B46B98" w:rsidRPr="0029782C" w:rsidRDefault="00211E2A" w:rsidP="00B46B98">
      <w:pPr>
        <w:shd w:val="clear" w:color="auto" w:fill="FFFFFF"/>
        <w:spacing w:after="0" w:line="240" w:lineRule="atLeast"/>
        <w:rPr>
          <w:rFonts w:ascii="Arial" w:eastAsia="Times New Roman" w:hAnsi="Arial" w:cs="Arial"/>
          <w:color w:val="000000" w:themeColor="text1"/>
          <w:sz w:val="24"/>
          <w:szCs w:val="24"/>
          <w:lang w:eastAsia="es-BO"/>
        </w:rPr>
      </w:pPr>
      <w:r>
        <w:rPr>
          <w:rStyle w:val="Refdenotaalpie"/>
        </w:rPr>
        <w:footnoteRef/>
      </w:r>
      <w:r>
        <w:t xml:space="preserve"> </w:t>
      </w:r>
      <w:r w:rsidR="001F11EE">
        <w:t xml:space="preserve">Leer sentencia completa en: </w:t>
      </w:r>
      <w:r w:rsidR="00B46B98" w:rsidRPr="0029782C">
        <w:rPr>
          <w:rFonts w:ascii="Arial" w:eastAsia="Times New Roman" w:hAnsi="Arial" w:cs="Arial"/>
          <w:color w:val="000000" w:themeColor="text1"/>
          <w:sz w:val="21"/>
          <w:szCs w:val="21"/>
          <w:lang w:eastAsia="es-BO"/>
        </w:rPr>
        <w:t>www2.scjn.gob.mx/juridica/engroses/cerrados/publico/proyecto/AR263_2014.doc</w:t>
      </w: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211E2A" w:rsidRDefault="00B46B98" w:rsidP="00B46B98">
      <w:pPr>
        <w:pStyle w:val="Textonotapie"/>
      </w:pPr>
      <w:r w:rsidRPr="00B46B98">
        <w:rPr>
          <w:rFonts w:ascii="Arial" w:eastAsia="Times New Roman" w:hAnsi="Arial" w:cs="Arial"/>
          <w:color w:val="545454"/>
          <w:sz w:val="24"/>
          <w:szCs w:val="24"/>
          <w:shd w:val="clear" w:color="auto" w:fill="FFFFFF"/>
          <w:lang w:eastAsia="es-BO"/>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19A8"/>
    <w:multiLevelType w:val="hybridMultilevel"/>
    <w:tmpl w:val="FF503D1A"/>
    <w:lvl w:ilvl="0" w:tplc="07442D4C">
      <w:start w:val="1"/>
      <w:numFmt w:val="decimal"/>
      <w:lvlText w:val="%1."/>
      <w:lvlJc w:val="righ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0E4536"/>
    <w:multiLevelType w:val="multilevel"/>
    <w:tmpl w:val="CFD8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185ABA"/>
    <w:rsid w:val="001F11EE"/>
    <w:rsid w:val="00211E2A"/>
    <w:rsid w:val="0029782C"/>
    <w:rsid w:val="007B4B1C"/>
    <w:rsid w:val="00815F75"/>
    <w:rsid w:val="00822ABA"/>
    <w:rsid w:val="008F36C1"/>
    <w:rsid w:val="009609F8"/>
    <w:rsid w:val="00996FF0"/>
    <w:rsid w:val="009A1B4D"/>
    <w:rsid w:val="00A334D9"/>
    <w:rsid w:val="00A749CB"/>
    <w:rsid w:val="00AA61D1"/>
    <w:rsid w:val="00AB24C6"/>
    <w:rsid w:val="00AF512C"/>
    <w:rsid w:val="00B46B98"/>
    <w:rsid w:val="00EF7CE6"/>
    <w:rsid w:val="00F6384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B4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rsid w:val="00211E2A"/>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B4B1C"/>
    <w:rPr>
      <w:rFonts w:asciiTheme="majorHAnsi" w:eastAsiaTheme="majorEastAsia" w:hAnsiTheme="majorHAnsi" w:cstheme="majorBidi"/>
      <w:color w:val="2E74B5" w:themeColor="accent1" w:themeShade="BF"/>
      <w:sz w:val="26"/>
      <w:szCs w:val="26"/>
    </w:rPr>
  </w:style>
  <w:style w:type="paragraph" w:customStyle="1" w:styleId="corte4fondoCar">
    <w:name w:val="corte4 fondo Car"/>
    <w:basedOn w:val="Normal"/>
    <w:link w:val="corte4fondoCarCar"/>
    <w:rsid w:val="00F63847"/>
    <w:pPr>
      <w:spacing w:after="0" w:line="360" w:lineRule="auto"/>
      <w:ind w:firstLine="709"/>
      <w:jc w:val="both"/>
    </w:pPr>
    <w:rPr>
      <w:rFonts w:ascii="Arial" w:eastAsia="Times New Roman" w:hAnsi="Arial" w:cs="Times New Roman"/>
      <w:sz w:val="30"/>
      <w:szCs w:val="20"/>
      <w:lang w:val="es-ES_tradnl" w:eastAsia="es-MX"/>
    </w:rPr>
  </w:style>
  <w:style w:type="paragraph" w:styleId="Prrafodelista">
    <w:name w:val="List Paragraph"/>
    <w:aliases w:val="Cita texto"/>
    <w:basedOn w:val="Normal"/>
    <w:link w:val="PrrafodelistaCar"/>
    <w:uiPriority w:val="34"/>
    <w:qFormat/>
    <w:rsid w:val="00F63847"/>
    <w:pPr>
      <w:spacing w:after="0" w:line="360" w:lineRule="auto"/>
      <w:ind w:left="708" w:right="709" w:firstLine="706"/>
      <w:jc w:val="both"/>
    </w:pPr>
    <w:rPr>
      <w:rFonts w:ascii="Arial" w:eastAsia="Times New Roman" w:hAnsi="Arial" w:cs="Arial"/>
      <w:i/>
      <w:sz w:val="28"/>
      <w:szCs w:val="28"/>
      <w:lang w:val="es-MX" w:eastAsia="es-MX"/>
    </w:rPr>
  </w:style>
  <w:style w:type="character" w:customStyle="1" w:styleId="corte4fondoCarCar">
    <w:name w:val="corte4 fondo Car Car"/>
    <w:link w:val="corte4fondoCar"/>
    <w:locked/>
    <w:rsid w:val="00F63847"/>
    <w:rPr>
      <w:rFonts w:ascii="Arial" w:eastAsia="Times New Roman" w:hAnsi="Arial" w:cs="Times New Roman"/>
      <w:sz w:val="30"/>
      <w:szCs w:val="20"/>
      <w:lang w:val="es-ES_tradnl" w:eastAsia="es-MX"/>
    </w:rPr>
  </w:style>
  <w:style w:type="character" w:customStyle="1" w:styleId="PrrafodelistaCar">
    <w:name w:val="Párrafo de lista Car"/>
    <w:aliases w:val="Cita texto Car"/>
    <w:link w:val="Prrafodelista"/>
    <w:uiPriority w:val="99"/>
    <w:rsid w:val="00F63847"/>
    <w:rPr>
      <w:rFonts w:ascii="Arial" w:eastAsia="Times New Roman" w:hAnsi="Arial" w:cs="Arial"/>
      <w:i/>
      <w:sz w:val="28"/>
      <w:szCs w:val="28"/>
      <w:lang w:val="es-MX" w:eastAsia="es-MX"/>
    </w:rPr>
  </w:style>
  <w:style w:type="character" w:customStyle="1" w:styleId="corte5transcripcionCar1">
    <w:name w:val="corte5 transcripcion Car1"/>
    <w:link w:val="corte5transcripcion"/>
    <w:locked/>
    <w:rsid w:val="00F63847"/>
    <w:rPr>
      <w:rFonts w:ascii="Arial" w:hAnsi="Arial" w:cs="Arial"/>
      <w:b/>
      <w:bCs/>
      <w:i/>
      <w:iCs/>
      <w:sz w:val="30"/>
      <w:szCs w:val="30"/>
      <w:lang w:val="es-ES_tradnl"/>
    </w:rPr>
  </w:style>
  <w:style w:type="paragraph" w:customStyle="1" w:styleId="corte5transcripcion">
    <w:name w:val="corte5 transcripcion"/>
    <w:basedOn w:val="Normal"/>
    <w:link w:val="corte5transcripcionCar1"/>
    <w:qFormat/>
    <w:rsid w:val="00F63847"/>
    <w:pPr>
      <w:autoSpaceDE w:val="0"/>
      <w:autoSpaceDN w:val="0"/>
      <w:spacing w:after="0" w:line="360" w:lineRule="auto"/>
      <w:ind w:left="709" w:right="709"/>
      <w:jc w:val="both"/>
    </w:pPr>
    <w:rPr>
      <w:rFonts w:ascii="Arial" w:hAnsi="Arial" w:cs="Arial"/>
      <w:b/>
      <w:bCs/>
      <w:i/>
      <w:iCs/>
      <w:sz w:val="30"/>
      <w:szCs w:val="30"/>
      <w:lang w:val="es-ES_tradnl"/>
    </w:rPr>
  </w:style>
  <w:style w:type="paragraph" w:customStyle="1" w:styleId="TEXTONORMAL">
    <w:name w:val="TEXTO NORMAL"/>
    <w:basedOn w:val="Normal"/>
    <w:link w:val="TEXTONORMALCar"/>
    <w:rsid w:val="00F63847"/>
    <w:pPr>
      <w:spacing w:after="0" w:line="360" w:lineRule="auto"/>
      <w:ind w:firstLine="709"/>
      <w:jc w:val="both"/>
    </w:pPr>
    <w:rPr>
      <w:rFonts w:ascii="Arial" w:eastAsia="Times New Roman" w:hAnsi="Arial" w:cs="Times New Roman"/>
      <w:sz w:val="28"/>
      <w:szCs w:val="28"/>
      <w:lang w:val="es-MX" w:eastAsia="es-ES"/>
    </w:rPr>
  </w:style>
  <w:style w:type="character" w:customStyle="1" w:styleId="TEXTONORMALCar">
    <w:name w:val="TEXTO NORMAL Car"/>
    <w:link w:val="TEXTONORMAL"/>
    <w:locked/>
    <w:rsid w:val="00F63847"/>
    <w:rPr>
      <w:rFonts w:ascii="Arial" w:eastAsia="Times New Roman" w:hAnsi="Arial" w:cs="Times New Roman"/>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179">
      <w:bodyDiv w:val="1"/>
      <w:marLeft w:val="0"/>
      <w:marRight w:val="0"/>
      <w:marTop w:val="0"/>
      <w:marBottom w:val="0"/>
      <w:divBdr>
        <w:top w:val="none" w:sz="0" w:space="0" w:color="auto"/>
        <w:left w:val="none" w:sz="0" w:space="0" w:color="auto"/>
        <w:bottom w:val="none" w:sz="0" w:space="0" w:color="auto"/>
        <w:right w:val="none" w:sz="0" w:space="0" w:color="auto"/>
      </w:divBdr>
    </w:div>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687145305">
      <w:bodyDiv w:val="1"/>
      <w:marLeft w:val="0"/>
      <w:marRight w:val="0"/>
      <w:marTop w:val="0"/>
      <w:marBottom w:val="0"/>
      <w:divBdr>
        <w:top w:val="none" w:sz="0" w:space="0" w:color="auto"/>
        <w:left w:val="none" w:sz="0" w:space="0" w:color="auto"/>
        <w:bottom w:val="none" w:sz="0" w:space="0" w:color="auto"/>
        <w:right w:val="none" w:sz="0" w:space="0" w:color="auto"/>
      </w:divBdr>
      <w:divsChild>
        <w:div w:id="1226987253">
          <w:marLeft w:val="0"/>
          <w:marRight w:val="0"/>
          <w:marTop w:val="0"/>
          <w:marBottom w:val="101"/>
          <w:divBdr>
            <w:top w:val="none" w:sz="0" w:space="0" w:color="auto"/>
            <w:left w:val="none" w:sz="0" w:space="0" w:color="auto"/>
            <w:bottom w:val="none" w:sz="0" w:space="0" w:color="auto"/>
            <w:right w:val="none" w:sz="0" w:space="0" w:color="auto"/>
          </w:divBdr>
        </w:div>
        <w:div w:id="653024704">
          <w:marLeft w:val="0"/>
          <w:marRight w:val="0"/>
          <w:marTop w:val="0"/>
          <w:marBottom w:val="101"/>
          <w:divBdr>
            <w:top w:val="none" w:sz="0" w:space="0" w:color="auto"/>
            <w:left w:val="none" w:sz="0" w:space="0" w:color="auto"/>
            <w:bottom w:val="none" w:sz="0" w:space="0" w:color="auto"/>
            <w:right w:val="none" w:sz="0" w:space="0" w:color="auto"/>
          </w:divBdr>
        </w:div>
      </w:divsChild>
    </w:div>
    <w:div w:id="908151398">
      <w:bodyDiv w:val="1"/>
      <w:marLeft w:val="0"/>
      <w:marRight w:val="0"/>
      <w:marTop w:val="0"/>
      <w:marBottom w:val="0"/>
      <w:divBdr>
        <w:top w:val="none" w:sz="0" w:space="0" w:color="auto"/>
        <w:left w:val="none" w:sz="0" w:space="0" w:color="auto"/>
        <w:bottom w:val="none" w:sz="0" w:space="0" w:color="auto"/>
        <w:right w:val="none" w:sz="0" w:space="0" w:color="auto"/>
      </w:divBdr>
      <w:divsChild>
        <w:div w:id="972709603">
          <w:marLeft w:val="720"/>
          <w:marRight w:val="0"/>
          <w:marTop w:val="0"/>
          <w:marBottom w:val="101"/>
          <w:divBdr>
            <w:top w:val="none" w:sz="0" w:space="0" w:color="auto"/>
            <w:left w:val="none" w:sz="0" w:space="0" w:color="auto"/>
            <w:bottom w:val="none" w:sz="0" w:space="0" w:color="auto"/>
            <w:right w:val="none" w:sz="0" w:space="0" w:color="auto"/>
          </w:divBdr>
        </w:div>
        <w:div w:id="1638224476">
          <w:marLeft w:val="720"/>
          <w:marRight w:val="0"/>
          <w:marTop w:val="0"/>
          <w:marBottom w:val="101"/>
          <w:divBdr>
            <w:top w:val="none" w:sz="0" w:space="0" w:color="auto"/>
            <w:left w:val="none" w:sz="0" w:space="0" w:color="auto"/>
            <w:bottom w:val="none" w:sz="0" w:space="0" w:color="auto"/>
            <w:right w:val="none" w:sz="0" w:space="0" w:color="auto"/>
          </w:divBdr>
        </w:div>
      </w:divsChild>
    </w:div>
    <w:div w:id="995231042">
      <w:bodyDiv w:val="1"/>
      <w:marLeft w:val="0"/>
      <w:marRight w:val="0"/>
      <w:marTop w:val="0"/>
      <w:marBottom w:val="0"/>
      <w:divBdr>
        <w:top w:val="none" w:sz="0" w:space="0" w:color="auto"/>
        <w:left w:val="none" w:sz="0" w:space="0" w:color="auto"/>
        <w:bottom w:val="none" w:sz="0" w:space="0" w:color="auto"/>
        <w:right w:val="none" w:sz="0" w:space="0" w:color="auto"/>
      </w:divBdr>
      <w:divsChild>
        <w:div w:id="1854302387">
          <w:marLeft w:val="45"/>
          <w:marRight w:val="45"/>
          <w:marTop w:val="15"/>
          <w:marBottom w:val="0"/>
          <w:divBdr>
            <w:top w:val="none" w:sz="0" w:space="0" w:color="auto"/>
            <w:left w:val="none" w:sz="0" w:space="0" w:color="auto"/>
            <w:bottom w:val="none" w:sz="0" w:space="0" w:color="auto"/>
            <w:right w:val="none" w:sz="0" w:space="0" w:color="auto"/>
          </w:divBdr>
          <w:divsChild>
            <w:div w:id="12392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 w:id="1637875762">
      <w:bodyDiv w:val="1"/>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720"/>
          <w:marRight w:val="0"/>
          <w:marTop w:val="0"/>
          <w:marBottom w:val="101"/>
          <w:divBdr>
            <w:top w:val="none" w:sz="0" w:space="0" w:color="auto"/>
            <w:left w:val="none" w:sz="0" w:space="0" w:color="auto"/>
            <w:bottom w:val="none" w:sz="0" w:space="0" w:color="auto"/>
            <w:right w:val="none" w:sz="0" w:space="0" w:color="auto"/>
          </w:divBdr>
        </w:div>
        <w:div w:id="1407000003">
          <w:marLeft w:val="720"/>
          <w:marRight w:val="0"/>
          <w:marTop w:val="0"/>
          <w:marBottom w:val="101"/>
          <w:divBdr>
            <w:top w:val="none" w:sz="0" w:space="0" w:color="auto"/>
            <w:left w:val="none" w:sz="0" w:space="0" w:color="auto"/>
            <w:bottom w:val="none" w:sz="0" w:space="0" w:color="auto"/>
            <w:right w:val="none" w:sz="0" w:space="0" w:color="auto"/>
          </w:divBdr>
        </w:div>
        <w:div w:id="1582717404">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9</cp:revision>
  <dcterms:created xsi:type="dcterms:W3CDTF">2017-06-18T20:40:00Z</dcterms:created>
  <dcterms:modified xsi:type="dcterms:W3CDTF">2017-06-26T14:04:00Z</dcterms:modified>
</cp:coreProperties>
</file>