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83" w:rsidRPr="00757189" w:rsidRDefault="00D83D83" w:rsidP="00D83D83">
      <w:pPr>
        <w:spacing w:after="0"/>
        <w:jc w:val="both"/>
        <w:rPr>
          <w:b/>
        </w:rPr>
      </w:pPr>
      <w:bookmarkStart w:id="0" w:name="_GoBack"/>
      <w:r w:rsidRPr="00D83D83">
        <w:rPr>
          <w:b/>
        </w:rPr>
        <w:t>CASO ARTAVIA MURILLO Y OTROS (“FECUNDACIÓN IN VITRO”) VS. COSTA RICA</w:t>
      </w:r>
      <w:bookmarkEnd w:id="0"/>
      <w:r w:rsidRPr="00D83D83">
        <w:rPr>
          <w:rStyle w:val="Refdenotaalpie"/>
          <w:b/>
        </w:rPr>
        <w:footnoteReference w:id="1"/>
      </w:r>
      <w:r w:rsidRPr="00757189">
        <w:rPr>
          <w:b/>
        </w:rPr>
        <w:t xml:space="preserve"> </w:t>
      </w:r>
    </w:p>
    <w:p w:rsidR="00D83D83" w:rsidRDefault="00D83D83" w:rsidP="00D83D83">
      <w:pPr>
        <w:spacing w:after="0"/>
        <w:jc w:val="both"/>
      </w:pPr>
      <w:r>
        <w:t xml:space="preserve">Sentencia de 28 de noviembre de 2012 </w:t>
      </w:r>
    </w:p>
    <w:p w:rsidR="00D83D83" w:rsidRDefault="00D83D83" w:rsidP="00D83D83">
      <w:pPr>
        <w:spacing w:after="0"/>
        <w:jc w:val="both"/>
        <w:rPr>
          <w:rFonts w:ascii="Arial" w:hAnsi="Arial" w:cs="Arial"/>
          <w:sz w:val="20"/>
          <w:szCs w:val="20"/>
        </w:rPr>
      </w:pPr>
      <w:r w:rsidRPr="00757189">
        <w:t>(Excepciones preliminares, fondo, reparaciones y costas)</w:t>
      </w:r>
      <w:r w:rsidRPr="00757189">
        <w:rPr>
          <w:rFonts w:ascii="Arial" w:hAnsi="Arial" w:cs="Arial"/>
          <w:sz w:val="20"/>
          <w:szCs w:val="20"/>
        </w:rPr>
        <w:t xml:space="preserve"> </w:t>
      </w:r>
    </w:p>
    <w:p w:rsidR="00D83D83" w:rsidRPr="00757189" w:rsidRDefault="00D83D83" w:rsidP="00D83D83">
      <w:pPr>
        <w:spacing w:after="0"/>
        <w:jc w:val="both"/>
        <w:rPr>
          <w:rFonts w:ascii="Arial" w:hAnsi="Arial" w:cs="Arial"/>
          <w:b/>
          <w:sz w:val="20"/>
          <w:szCs w:val="20"/>
        </w:rPr>
      </w:pPr>
      <w:r w:rsidRPr="00757189">
        <w:rPr>
          <w:rFonts w:ascii="Arial" w:hAnsi="Arial" w:cs="Arial"/>
          <w:b/>
          <w:sz w:val="20"/>
          <w:szCs w:val="20"/>
        </w:rPr>
        <w:t xml:space="preserve">Antecedentes </w:t>
      </w:r>
    </w:p>
    <w:p w:rsidR="00D83D83" w:rsidRDefault="00D83D83" w:rsidP="00D83D83">
      <w:pPr>
        <w:spacing w:after="0"/>
        <w:jc w:val="both"/>
        <w:rPr>
          <w:rFonts w:ascii="Arial" w:hAnsi="Arial" w:cs="Arial"/>
          <w:sz w:val="20"/>
          <w:szCs w:val="20"/>
        </w:rPr>
      </w:pPr>
      <w:r>
        <w:t>La Comisión indicó que el caso se relaciona con alegadas violaciones de derechos humanos que habrían ocurrido como consecuencia de la presunta prohibición general de practicar la Fecundación in vitro (en adelante "FIV") que había estado vigente en Costa Rica desde el año 2000, tras una decisión emitida por la Sala Constitucional de la Corte Suprema de Justicia (en adelante "Sala Constitucional") de dicho país. Entre otros aspectos, se alegó que esta prohibición absoluta constituyó una injerencia arbitraria en los derechos a la vida privada y familiar y a formar una familia. Asimismo, se alegó que la prohibición constituyó una violación del derecho a la igualdad de las víctimas, en tanto que el Estado les impidió el acceso a un tratamiento que les hubiera permitido superar su situación de desventaja respecto de la posibilidad de tener hijas o hijos biológicos. Además, se alegó que este impedimento habría tenido un impacto desproporcionado en las mujeres.</w:t>
      </w:r>
    </w:p>
    <w:p w:rsidR="00D83D83" w:rsidRDefault="00D83D83" w:rsidP="00D83D83">
      <w:pPr>
        <w:spacing w:after="0"/>
        <w:jc w:val="both"/>
        <w:rPr>
          <w:rFonts w:ascii="Arial" w:hAnsi="Arial" w:cs="Arial"/>
          <w:b/>
          <w:sz w:val="20"/>
          <w:szCs w:val="20"/>
        </w:rPr>
      </w:pPr>
      <w:r w:rsidRPr="00757189">
        <w:rPr>
          <w:rFonts w:ascii="Arial" w:hAnsi="Arial" w:cs="Arial"/>
          <w:b/>
          <w:sz w:val="20"/>
          <w:szCs w:val="20"/>
        </w:rPr>
        <w:t>Sentencia</w:t>
      </w:r>
    </w:p>
    <w:p w:rsidR="00D83D83" w:rsidRDefault="00D83D83" w:rsidP="00D83D83">
      <w:pPr>
        <w:spacing w:after="0"/>
        <w:jc w:val="both"/>
        <w:rPr>
          <w:rFonts w:ascii="Arial" w:hAnsi="Arial" w:cs="Arial"/>
          <w:sz w:val="20"/>
          <w:szCs w:val="20"/>
        </w:rPr>
      </w:pPr>
      <w:r w:rsidRPr="00445D40">
        <w:rPr>
          <w:rFonts w:ascii="Arial" w:hAnsi="Arial" w:cs="Arial"/>
          <w:sz w:val="20"/>
          <w:szCs w:val="20"/>
        </w:rPr>
        <w:t>1. El Estado es responsable por la vulneración de los artículos 5.1, 7, 11.2 y 17.2, en</w:t>
      </w:r>
      <w:r>
        <w:rPr>
          <w:rFonts w:ascii="Arial" w:hAnsi="Arial" w:cs="Arial"/>
          <w:sz w:val="20"/>
          <w:szCs w:val="20"/>
        </w:rPr>
        <w:t xml:space="preserve"> </w:t>
      </w:r>
      <w:r w:rsidRPr="00445D40">
        <w:rPr>
          <w:rFonts w:ascii="Arial" w:hAnsi="Arial" w:cs="Arial"/>
          <w:sz w:val="20"/>
          <w:szCs w:val="20"/>
        </w:rPr>
        <w:t>relación con el artículo 1.1 de la Convención Americana, en perjuicio de Grettel Artavia</w:t>
      </w:r>
      <w:r>
        <w:rPr>
          <w:rFonts w:ascii="Arial" w:hAnsi="Arial" w:cs="Arial"/>
          <w:sz w:val="20"/>
          <w:szCs w:val="20"/>
        </w:rPr>
        <w:t xml:space="preserve"> </w:t>
      </w:r>
      <w:r w:rsidRPr="00445D40">
        <w:rPr>
          <w:rFonts w:ascii="Arial" w:hAnsi="Arial" w:cs="Arial"/>
          <w:sz w:val="20"/>
          <w:szCs w:val="20"/>
        </w:rPr>
        <w:t>Murillo, Miguel Mejías Carballo, Andrea Bianchi Bruna, Germán Alberto Moreno Valencia, Ana</w:t>
      </w:r>
      <w:r>
        <w:rPr>
          <w:rFonts w:ascii="Arial" w:hAnsi="Arial" w:cs="Arial"/>
          <w:sz w:val="20"/>
          <w:szCs w:val="20"/>
        </w:rPr>
        <w:t xml:space="preserve"> </w:t>
      </w:r>
      <w:r w:rsidRPr="00445D40">
        <w:rPr>
          <w:rFonts w:ascii="Arial" w:hAnsi="Arial" w:cs="Arial"/>
          <w:sz w:val="20"/>
          <w:szCs w:val="20"/>
        </w:rPr>
        <w:t>Cristina Castillo León, Enrique Acuña Cartín, Ileana Henchoz Bolaños, Miguel Antonio</w:t>
      </w:r>
      <w:r>
        <w:rPr>
          <w:rFonts w:ascii="Arial" w:hAnsi="Arial" w:cs="Arial"/>
          <w:sz w:val="20"/>
          <w:szCs w:val="20"/>
        </w:rPr>
        <w:t xml:space="preserve"> </w:t>
      </w:r>
      <w:r w:rsidRPr="00445D40">
        <w:rPr>
          <w:rFonts w:ascii="Arial" w:hAnsi="Arial" w:cs="Arial"/>
          <w:sz w:val="20"/>
          <w:szCs w:val="20"/>
        </w:rPr>
        <w:t>Yamuni Zeledón, Claudia María Carro Maklouf, Víktor Hugo Sanabria León, Karen Espinoza</w:t>
      </w:r>
      <w:r>
        <w:rPr>
          <w:rFonts w:ascii="Arial" w:hAnsi="Arial" w:cs="Arial"/>
          <w:sz w:val="20"/>
          <w:szCs w:val="20"/>
        </w:rPr>
        <w:t xml:space="preserve"> </w:t>
      </w:r>
      <w:r w:rsidRPr="00445D40">
        <w:rPr>
          <w:rFonts w:ascii="Arial" w:hAnsi="Arial" w:cs="Arial"/>
          <w:sz w:val="20"/>
          <w:szCs w:val="20"/>
        </w:rPr>
        <w:t>Vindas, Héctor Jiménez Acuña, María del Socorro Calderón Porras, Joaquinita Arroyo</w:t>
      </w:r>
      <w:r>
        <w:rPr>
          <w:rFonts w:ascii="Arial" w:hAnsi="Arial" w:cs="Arial"/>
          <w:sz w:val="20"/>
          <w:szCs w:val="20"/>
        </w:rPr>
        <w:t xml:space="preserve"> </w:t>
      </w:r>
      <w:r w:rsidRPr="00445D40">
        <w:rPr>
          <w:rFonts w:ascii="Arial" w:hAnsi="Arial" w:cs="Arial"/>
          <w:sz w:val="20"/>
          <w:szCs w:val="20"/>
        </w:rPr>
        <w:t>Fonseca, Geovanni Antonio Vega Cordero, Carlos Eduardo de Jesús Vargas Solórzano,</w:t>
      </w:r>
      <w:r>
        <w:rPr>
          <w:rFonts w:ascii="Arial" w:hAnsi="Arial" w:cs="Arial"/>
          <w:sz w:val="20"/>
          <w:szCs w:val="20"/>
        </w:rPr>
        <w:t xml:space="preserve"> </w:t>
      </w:r>
      <w:r w:rsidRPr="00445D40">
        <w:rPr>
          <w:rFonts w:ascii="Arial" w:hAnsi="Arial" w:cs="Arial"/>
          <w:sz w:val="20"/>
          <w:szCs w:val="20"/>
        </w:rPr>
        <w:t>Julieta González Ledezma y Oriéster Rojas Carranza, en los términos de los párrafos 136 a</w:t>
      </w:r>
      <w:r>
        <w:rPr>
          <w:rFonts w:ascii="Arial" w:hAnsi="Arial" w:cs="Arial"/>
          <w:sz w:val="20"/>
          <w:szCs w:val="20"/>
        </w:rPr>
        <w:t xml:space="preserve"> </w:t>
      </w:r>
      <w:r w:rsidRPr="00445D40">
        <w:rPr>
          <w:rFonts w:ascii="Arial" w:hAnsi="Arial" w:cs="Arial"/>
          <w:sz w:val="20"/>
          <w:szCs w:val="20"/>
        </w:rPr>
        <w:t>317 de la presente Sentencia.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FC" w:rsidRDefault="000E4DFC" w:rsidP="00D83D83">
      <w:pPr>
        <w:spacing w:after="0" w:line="240" w:lineRule="auto"/>
      </w:pPr>
      <w:r>
        <w:separator/>
      </w:r>
    </w:p>
  </w:endnote>
  <w:endnote w:type="continuationSeparator" w:id="0">
    <w:p w:rsidR="000E4DFC" w:rsidRDefault="000E4DFC" w:rsidP="00D8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FC" w:rsidRDefault="000E4DFC" w:rsidP="00D83D83">
      <w:pPr>
        <w:spacing w:after="0" w:line="240" w:lineRule="auto"/>
      </w:pPr>
      <w:r>
        <w:separator/>
      </w:r>
    </w:p>
  </w:footnote>
  <w:footnote w:type="continuationSeparator" w:id="0">
    <w:p w:rsidR="000E4DFC" w:rsidRDefault="000E4DFC" w:rsidP="00D83D83">
      <w:pPr>
        <w:spacing w:after="0" w:line="240" w:lineRule="auto"/>
      </w:pPr>
      <w:r>
        <w:continuationSeparator/>
      </w:r>
    </w:p>
  </w:footnote>
  <w:footnote w:id="1">
    <w:p w:rsidR="00D83D83" w:rsidRDefault="00D83D83" w:rsidP="00D83D83">
      <w:pPr>
        <w:pStyle w:val="Textonotapie"/>
      </w:pPr>
      <w:r>
        <w:rPr>
          <w:rStyle w:val="Refdenotaalpie"/>
        </w:rPr>
        <w:footnoteRef/>
      </w:r>
      <w:r>
        <w:t xml:space="preserve"> Anexo JU/CorteDH/02</w:t>
      </w:r>
      <w:r w:rsidRPr="00012D3D">
        <w:t xml:space="preserve">  </w:t>
      </w:r>
      <w:r>
        <w:t xml:space="preserve">Para ver la </w:t>
      </w:r>
      <w:r w:rsidRPr="00711B4F">
        <w:t xml:space="preserve">norma in extenso, </w:t>
      </w:r>
      <w:r>
        <w:t xml:space="preserve">también puede utilizar el siguiente link </w:t>
      </w:r>
      <w:hyperlink r:id="rId1" w:history="1">
        <w:r w:rsidRPr="0015307C">
          <w:rPr>
            <w:rStyle w:val="Hipervnculo"/>
          </w:rPr>
          <w:t>http://www.corteidh.or.cr/docs/casos/articulos/seriec_257_esp.pdf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83"/>
    <w:rsid w:val="000E4DFC"/>
    <w:rsid w:val="00683406"/>
    <w:rsid w:val="00D83D8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D8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83D8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83D83"/>
    <w:rPr>
      <w:sz w:val="20"/>
      <w:szCs w:val="20"/>
    </w:rPr>
  </w:style>
  <w:style w:type="character" w:styleId="Refdenotaalpie">
    <w:name w:val="footnote reference"/>
    <w:basedOn w:val="Fuentedeprrafopredeter"/>
    <w:uiPriority w:val="99"/>
    <w:unhideWhenUsed/>
    <w:rsid w:val="00D83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D8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83D8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83D83"/>
    <w:rPr>
      <w:sz w:val="20"/>
      <w:szCs w:val="20"/>
    </w:rPr>
  </w:style>
  <w:style w:type="character" w:styleId="Refdenotaalpie">
    <w:name w:val="footnote reference"/>
    <w:basedOn w:val="Fuentedeprrafopredeter"/>
    <w:uiPriority w:val="99"/>
    <w:unhideWhenUsed/>
    <w:rsid w:val="00D83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257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2016-10-28T12:13:00Z</dcterms:created>
  <dcterms:modified xsi:type="dcterms:W3CDTF">2016-10-28T12:14:00Z</dcterms:modified>
</cp:coreProperties>
</file>