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27" w:rsidRPr="00445D40" w:rsidRDefault="00DE5727" w:rsidP="00DE5727">
      <w:pPr>
        <w:spacing w:after="0"/>
        <w:jc w:val="both"/>
        <w:rPr>
          <w:b/>
        </w:rPr>
      </w:pPr>
      <w:bookmarkStart w:id="0" w:name="_GoBack"/>
      <w:r w:rsidRPr="00DE5727">
        <w:rPr>
          <w:b/>
        </w:rPr>
        <w:t>CASO ATALA RIFFO Y NIÑAS VS. CHILE</w:t>
      </w:r>
      <w:bookmarkEnd w:id="0"/>
      <w:r w:rsidRPr="00DE5727">
        <w:rPr>
          <w:rStyle w:val="Refdenotaalpie"/>
          <w:b/>
        </w:rPr>
        <w:footnoteReference w:id="1"/>
      </w:r>
      <w:r w:rsidRPr="00445D40">
        <w:rPr>
          <w:b/>
        </w:rPr>
        <w:t xml:space="preserve"> </w:t>
      </w:r>
    </w:p>
    <w:p w:rsidR="00DE5727" w:rsidRDefault="00DE5727" w:rsidP="00DE5727">
      <w:pPr>
        <w:spacing w:after="0"/>
        <w:jc w:val="both"/>
      </w:pPr>
      <w:r>
        <w:t xml:space="preserve">Sentencia de 24 de febrero de 2012 </w:t>
      </w:r>
    </w:p>
    <w:p w:rsidR="00DE5727" w:rsidRDefault="00DE5727" w:rsidP="00DE5727">
      <w:pPr>
        <w:spacing w:after="0"/>
        <w:jc w:val="both"/>
        <w:rPr>
          <w:rFonts w:ascii="Arial" w:hAnsi="Arial" w:cs="Arial"/>
          <w:sz w:val="20"/>
          <w:szCs w:val="20"/>
        </w:rPr>
      </w:pPr>
      <w:r>
        <w:t>(</w:t>
      </w:r>
      <w:proofErr w:type="gramStart"/>
      <w:r>
        <w:t>fondo</w:t>
      </w:r>
      <w:proofErr w:type="gramEnd"/>
      <w:r>
        <w:t>, reparaciones y costas)</w:t>
      </w:r>
    </w:p>
    <w:p w:rsidR="00DE5727" w:rsidRPr="003D5412" w:rsidRDefault="00DE5727" w:rsidP="00DE5727">
      <w:pPr>
        <w:spacing w:after="0"/>
        <w:jc w:val="both"/>
        <w:rPr>
          <w:rFonts w:ascii="Arial" w:hAnsi="Arial" w:cs="Arial"/>
          <w:b/>
          <w:sz w:val="20"/>
          <w:szCs w:val="20"/>
        </w:rPr>
      </w:pPr>
      <w:r w:rsidRPr="003D5412">
        <w:rPr>
          <w:rFonts w:ascii="Arial" w:hAnsi="Arial" w:cs="Arial"/>
          <w:b/>
          <w:sz w:val="20"/>
          <w:szCs w:val="20"/>
        </w:rPr>
        <w:t xml:space="preserve">Antecedentes </w:t>
      </w:r>
    </w:p>
    <w:p w:rsidR="00DE5727" w:rsidRDefault="00DE5727" w:rsidP="00DE5727">
      <w:pPr>
        <w:spacing w:after="0"/>
        <w:jc w:val="both"/>
      </w:pPr>
      <w:r>
        <w:t>De acuerdo a la Comisión, el presente caso se relaciona con la alegada responsabilidad internacional del Estado por el trato discriminatorio y la interferencia arbitraria en la vida privada y familiar que habría sufrido la señora Atala debido a su orientación sexual en el proceso judicial que resultó en el retiro del cuidado y custodia de sus hijas M., V. y R. El caso también se relaciona con la alegada inobservancia del interés superior de las niñas cuya custodia y cuidado fueron determinados en incumplimiento de sus derechos y sobre la base de supuestos prejuicios discriminatorios. La Comisión solicitó a la Corte que declare la violación de los artículos 11 (Protección de la Honra y de la Dignidad), 17.1 y 17.4 (Protección a la Familia), 19 (Derechos del Niño), 24 (Igualdad ante la Ley), 8 (Garantías Judiciales) y 25.1 y 25.2 (Protección Judicial) de la Convención, en relación con el artículo 1.1 de la misma. Asimismo, la Comisión solicitó al Tribunal que ordenara al Estado la adopción de medidas de reparación.</w:t>
      </w:r>
    </w:p>
    <w:p w:rsidR="00DE5727" w:rsidRPr="00445D40" w:rsidRDefault="00DE5727" w:rsidP="00DE5727">
      <w:pPr>
        <w:spacing w:after="0"/>
        <w:jc w:val="both"/>
        <w:rPr>
          <w:b/>
        </w:rPr>
      </w:pPr>
      <w:r w:rsidRPr="00445D40">
        <w:rPr>
          <w:b/>
        </w:rPr>
        <w:t xml:space="preserve">Sentencia </w:t>
      </w:r>
    </w:p>
    <w:p w:rsidR="00683406" w:rsidRDefault="00DE5727" w:rsidP="00DE5727">
      <w:pPr>
        <w:spacing w:after="0"/>
        <w:jc w:val="both"/>
      </w:pPr>
      <w:r>
        <w:t xml:space="preserve">1. El Estado es responsable por la violación del derecho a la igualdad y la no discriminación consagrado en el artículo 24, en relación con el artículo 1.1 de la Convención Americana sobre Derechos Humanos, en perjuicio de Karen Atala Riffo, de conformidad con lo establecido en los párrafos 94 a 99, 107 a 146 y 218 a 222 de esta Sentencia. por unanimidad, que: 2. El Estado es responsable por la violación del derecho a la igualdad y la no discriminación consagrado en el artículo 24, en relación con los artículos 19 y 1.1. </w:t>
      </w:r>
      <w:proofErr w:type="gramStart"/>
      <w:r>
        <w:t>de</w:t>
      </w:r>
      <w:proofErr w:type="gramEnd"/>
      <w:r>
        <w:t xml:space="preserve"> la Convención Americana, en perjuicio de las niñas M., V. y R., de conformidad con lo establecido en los párrafos 150 a 155 de esta Sentencia. </w:t>
      </w:r>
      <w:proofErr w:type="gramStart"/>
      <w:r>
        <w:t>por</w:t>
      </w:r>
      <w:proofErr w:type="gramEnd"/>
      <w:r>
        <w:t xml:space="preserve"> unanimidad, que: 3. El Estado es responsable por la violación del derecho a la vida privada consagrado en el artículo 11.2, en relación con el artículo 1.1. </w:t>
      </w:r>
      <w:proofErr w:type="gramStart"/>
      <w:r>
        <w:t>de</w:t>
      </w:r>
      <w:proofErr w:type="gramEnd"/>
      <w:r>
        <w:t xml:space="preserve"> la Convención Americana, en perjuicio de Karen Atala Riffo, de conformidad con lo establecido en los párrafos 161 a 167 y 225 a 230 de esta Sentencia. El juez Diego García-Sayán y las juezas Margarette May Macaulay y Rhadys Abreu Blondet votaron a favor del siguiente punto resolutivo. Los jueces Manuel E. Ventura Robles, Leonardo A. Franco y Alberto Pérez Pérez votaron en contra. En consecuencia, en aplicación de los artículos 23.3 del Estatuto de la Corte Interamericana de Derechos Humanos y 16.4 del Reglamento de la Corte Interamericana de Derechos Humanos, se declara que: 4. El Estado es responsable de la violación de los artículos 11.2 y 17.1, en relación con el artículo 1.1 de la Convención Americana en perjuicio de Karen Atala Riffo y de las niñas M., V. y R., de conformidad con lo establecido en los párrafos 168 a 178 de esta Sentencia. por unanimidad, que: 5. El Estado es responsable por la violación del derecho a ser oído consagrado en el artículo 8.1, en relación con los artículos 19 y 1.1 de la Convención Americana en perjuicio de las niñas M., V. y R., de conformidad con lo establecido en los párrafos 196 a 208 de esta Sentencia. por unanimidad, que: 6. El Estado es responsable por la violación de la garantía de imparcialidad consagrada en el artículo 8.1, en relación con el artículo 1.1 de la Convención Americana, respecto a la investigación </w:t>
      </w:r>
      <w:r>
        <w:lastRenderedPageBreak/>
        <w:t>disciplinaria, en perjuicio de Karen Atala Riffo, de conformidad con lo establecido en los párrafos 234 a 237 de esta Sentencia. por cinco votos a favor y uno en contra, que: 7. El Estado no violó la garantía judicial de imparcialidad consagrada en el artículo 8.1 de la Convención Americana, en relación con las decisiones de la Corte Suprema de Justicia y el Juzgado de Menores de Villarrica, en los términos de los párrafos 187</w:t>
      </w:r>
      <w:r>
        <w:t xml:space="preserve"> a 192 de la presente Sentencia.</w:t>
      </w:r>
    </w:p>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F0" w:rsidRDefault="00560AF0" w:rsidP="00DE5727">
      <w:pPr>
        <w:spacing w:after="0" w:line="240" w:lineRule="auto"/>
      </w:pPr>
      <w:r>
        <w:separator/>
      </w:r>
    </w:p>
  </w:endnote>
  <w:endnote w:type="continuationSeparator" w:id="0">
    <w:p w:rsidR="00560AF0" w:rsidRDefault="00560AF0" w:rsidP="00DE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F0" w:rsidRDefault="00560AF0" w:rsidP="00DE5727">
      <w:pPr>
        <w:spacing w:after="0" w:line="240" w:lineRule="auto"/>
      </w:pPr>
      <w:r>
        <w:separator/>
      </w:r>
    </w:p>
  </w:footnote>
  <w:footnote w:type="continuationSeparator" w:id="0">
    <w:p w:rsidR="00560AF0" w:rsidRDefault="00560AF0" w:rsidP="00DE5727">
      <w:pPr>
        <w:spacing w:after="0" w:line="240" w:lineRule="auto"/>
      </w:pPr>
      <w:r>
        <w:continuationSeparator/>
      </w:r>
    </w:p>
  </w:footnote>
  <w:footnote w:id="1">
    <w:p w:rsidR="00DE5727" w:rsidRDefault="00DE5727" w:rsidP="00DE5727">
      <w:pPr>
        <w:pStyle w:val="Textonotapie"/>
      </w:pPr>
      <w:r>
        <w:rPr>
          <w:rStyle w:val="Refdenotaalpie"/>
        </w:rPr>
        <w:footnoteRef/>
      </w:r>
      <w:r>
        <w:t xml:space="preserve"> Anexo JU/CorteDH/03</w:t>
      </w:r>
      <w:r w:rsidRPr="00012D3D">
        <w:t xml:space="preserve">  </w:t>
      </w:r>
      <w:r>
        <w:t xml:space="preserve">Para ver la </w:t>
      </w:r>
      <w:r w:rsidRPr="00711B4F">
        <w:t xml:space="preserve">norma in extenso, </w:t>
      </w:r>
      <w:r>
        <w:t xml:space="preserve">también puede utilizar el siguiente link </w:t>
      </w:r>
      <w:hyperlink r:id="rId1" w:history="1">
        <w:r w:rsidRPr="0015307C">
          <w:rPr>
            <w:rStyle w:val="Hipervnculo"/>
          </w:rPr>
          <w:t>http://corteidh.or.cr/docs/casos/articulos/seriec_239_esp.pdf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27"/>
    <w:rsid w:val="00560AF0"/>
    <w:rsid w:val="00683406"/>
    <w:rsid w:val="00DE572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572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E572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E5727"/>
    <w:rPr>
      <w:sz w:val="20"/>
      <w:szCs w:val="20"/>
    </w:rPr>
  </w:style>
  <w:style w:type="character" w:styleId="Refdenotaalpie">
    <w:name w:val="footnote reference"/>
    <w:basedOn w:val="Fuentedeprrafopredeter"/>
    <w:uiPriority w:val="99"/>
    <w:unhideWhenUsed/>
    <w:rsid w:val="00DE57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5727"/>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E5727"/>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E5727"/>
    <w:rPr>
      <w:sz w:val="20"/>
      <w:szCs w:val="20"/>
    </w:rPr>
  </w:style>
  <w:style w:type="character" w:styleId="Refdenotaalpie">
    <w:name w:val="footnote reference"/>
    <w:basedOn w:val="Fuentedeprrafopredeter"/>
    <w:uiPriority w:val="99"/>
    <w:unhideWhenUsed/>
    <w:rsid w:val="00DE5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orteidh.or.cr/docs/casos/articulos/seriec_239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2016-10-28T12:15:00Z</dcterms:created>
  <dcterms:modified xsi:type="dcterms:W3CDTF">2016-10-28T12:16:00Z</dcterms:modified>
</cp:coreProperties>
</file>