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B13" w:rsidRPr="006829A9" w:rsidRDefault="000E7B13" w:rsidP="000E7B13">
      <w:pPr>
        <w:shd w:val="clear" w:color="auto" w:fill="FFFFFF"/>
        <w:spacing w:after="0" w:line="240" w:lineRule="auto"/>
        <w:jc w:val="both"/>
        <w:rPr>
          <w:rFonts w:ascii="Arial" w:eastAsia="Times New Roman" w:hAnsi="Arial" w:cs="Arial"/>
          <w:color w:val="000000"/>
          <w:sz w:val="20"/>
          <w:szCs w:val="20"/>
          <w:lang w:eastAsia="es-BO"/>
        </w:rPr>
      </w:pPr>
      <w:r>
        <w:rPr>
          <w:noProof/>
          <w:lang w:eastAsia="es-BO"/>
        </w:rPr>
        <w:drawing>
          <wp:inline distT="0" distB="0" distL="0" distR="0" wp14:anchorId="31BB8237" wp14:editId="017F48E8">
            <wp:extent cx="411480" cy="257175"/>
            <wp:effectExtent l="0" t="0" r="7620" b="9525"/>
            <wp:docPr id="1" name="Imagen 1" descr="Bandera de Argentina[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ndera de Argentina[1]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1480" cy="257175"/>
                    </a:xfrm>
                    <a:prstGeom prst="rect">
                      <a:avLst/>
                    </a:prstGeom>
                    <a:noFill/>
                    <a:ln>
                      <a:noFill/>
                    </a:ln>
                  </pic:spPr>
                </pic:pic>
              </a:graphicData>
            </a:graphic>
          </wp:inline>
        </w:drawing>
      </w:r>
    </w:p>
    <w:p w:rsidR="000E7B13" w:rsidRPr="006829A9" w:rsidRDefault="000E7B13" w:rsidP="000E7B13">
      <w:pPr>
        <w:shd w:val="clear" w:color="auto" w:fill="FFFFFF"/>
        <w:spacing w:after="0" w:line="240" w:lineRule="auto"/>
        <w:jc w:val="both"/>
        <w:rPr>
          <w:rFonts w:ascii="Arial" w:eastAsia="Times New Roman" w:hAnsi="Arial" w:cs="Arial"/>
          <w:b/>
          <w:color w:val="000000"/>
          <w:sz w:val="20"/>
          <w:szCs w:val="20"/>
          <w:lang w:eastAsia="es-BO"/>
        </w:rPr>
      </w:pPr>
      <w:bookmarkStart w:id="0" w:name="_GoBack"/>
      <w:bookmarkEnd w:id="0"/>
      <w:r w:rsidRPr="000E7B13">
        <w:rPr>
          <w:rFonts w:ascii="Arial" w:eastAsia="Times New Roman" w:hAnsi="Arial" w:cs="Arial"/>
          <w:b/>
          <w:color w:val="000000"/>
          <w:sz w:val="20"/>
          <w:szCs w:val="20"/>
          <w:lang w:eastAsia="es-BO"/>
        </w:rPr>
        <w:t>CAMBIO DE IDENTIDAD SEXUAL</w:t>
      </w:r>
      <w:r w:rsidRPr="000E7B13">
        <w:rPr>
          <w:rStyle w:val="Refdenotaalpie"/>
          <w:rFonts w:ascii="Arial" w:hAnsi="Arial" w:cs="Arial"/>
          <w:color w:val="000000"/>
          <w:sz w:val="20"/>
          <w:szCs w:val="20"/>
          <w:lang w:eastAsia="es-BO"/>
        </w:rPr>
        <w:footnoteReference w:id="1"/>
      </w:r>
    </w:p>
    <w:p w:rsidR="000E7B13" w:rsidRPr="006829A9" w:rsidRDefault="000E7B13" w:rsidP="000E7B13">
      <w:pPr>
        <w:shd w:val="clear" w:color="auto" w:fill="FFFFFF"/>
        <w:spacing w:after="0" w:line="240" w:lineRule="auto"/>
        <w:jc w:val="both"/>
        <w:rPr>
          <w:rFonts w:ascii="Arial" w:eastAsia="Times New Roman" w:hAnsi="Arial" w:cs="Arial"/>
          <w:color w:val="000000"/>
          <w:sz w:val="20"/>
          <w:szCs w:val="20"/>
          <w:lang w:eastAsia="es-BO"/>
        </w:rPr>
      </w:pPr>
      <w:r w:rsidRPr="00B741D3">
        <w:rPr>
          <w:rFonts w:ascii="Arial" w:eastAsia="Times New Roman" w:hAnsi="Arial" w:cs="Arial"/>
          <w:color w:val="000000"/>
          <w:sz w:val="20"/>
          <w:szCs w:val="20"/>
          <w:lang w:eastAsia="es-BO"/>
        </w:rPr>
        <w:t>Cámara de Apelaciones en lo Civil y Comercial de Mar del Plata, sala</w:t>
      </w:r>
    </w:p>
    <w:p w:rsidR="000E7B13" w:rsidRPr="006829A9" w:rsidRDefault="000E7B13" w:rsidP="000E7B13">
      <w:pPr>
        <w:shd w:val="clear" w:color="auto" w:fill="FFFFFF"/>
        <w:spacing w:after="0" w:line="240" w:lineRule="auto"/>
        <w:jc w:val="both"/>
        <w:rPr>
          <w:rFonts w:ascii="Arial" w:eastAsia="Times New Roman" w:hAnsi="Arial" w:cs="Arial"/>
          <w:color w:val="000000"/>
          <w:sz w:val="20"/>
          <w:szCs w:val="20"/>
          <w:lang w:eastAsia="es-BO"/>
        </w:rPr>
      </w:pPr>
      <w:proofErr w:type="gramStart"/>
      <w:r w:rsidRPr="006829A9">
        <w:rPr>
          <w:rFonts w:ascii="Arial" w:eastAsia="Times New Roman" w:hAnsi="Arial" w:cs="Arial"/>
          <w:color w:val="000000"/>
          <w:sz w:val="20"/>
          <w:szCs w:val="20"/>
          <w:lang w:eastAsia="es-BO"/>
        </w:rPr>
        <w:t>II(</w:t>
      </w:r>
      <w:proofErr w:type="gramEnd"/>
      <w:r w:rsidRPr="006829A9">
        <w:rPr>
          <w:rFonts w:ascii="Arial" w:eastAsia="Times New Roman" w:hAnsi="Arial" w:cs="Arial"/>
          <w:color w:val="000000"/>
          <w:sz w:val="20"/>
          <w:szCs w:val="20"/>
          <w:lang w:eastAsia="es-BO"/>
        </w:rPr>
        <w:t>CCivyComMardelPlata)(SalaII)</w:t>
      </w:r>
    </w:p>
    <w:p w:rsidR="000E7B13" w:rsidRPr="006829A9" w:rsidRDefault="000E7B13" w:rsidP="000E7B13">
      <w:pPr>
        <w:shd w:val="clear" w:color="auto" w:fill="FFFFFF"/>
        <w:spacing w:after="0" w:line="240" w:lineRule="auto"/>
        <w:jc w:val="both"/>
        <w:rPr>
          <w:rFonts w:ascii="Arial" w:eastAsia="Times New Roman" w:hAnsi="Arial" w:cs="Arial"/>
          <w:color w:val="000000"/>
          <w:sz w:val="20"/>
          <w:szCs w:val="20"/>
          <w:lang w:eastAsia="es-BO"/>
        </w:rPr>
      </w:pPr>
      <w:r w:rsidRPr="006829A9">
        <w:rPr>
          <w:rFonts w:ascii="Arial" w:eastAsia="Times New Roman" w:hAnsi="Arial" w:cs="Arial"/>
          <w:color w:val="000000"/>
          <w:sz w:val="20"/>
          <w:szCs w:val="20"/>
          <w:lang w:eastAsia="es-BO"/>
        </w:rPr>
        <w:t>Caso L.A.C.1</w:t>
      </w:r>
    </w:p>
    <w:p w:rsidR="000E7B13" w:rsidRPr="006829A9" w:rsidRDefault="000E7B13" w:rsidP="000E7B13">
      <w:pPr>
        <w:shd w:val="clear" w:color="auto" w:fill="FFFFFF"/>
        <w:spacing w:after="0" w:line="240" w:lineRule="auto"/>
        <w:jc w:val="both"/>
        <w:rPr>
          <w:rFonts w:ascii="Arial" w:eastAsia="Times New Roman" w:hAnsi="Arial" w:cs="Arial"/>
          <w:color w:val="000000"/>
          <w:sz w:val="20"/>
          <w:szCs w:val="20"/>
          <w:lang w:eastAsia="es-BO"/>
        </w:rPr>
      </w:pPr>
      <w:r w:rsidRPr="006829A9">
        <w:rPr>
          <w:rFonts w:ascii="Arial" w:eastAsia="Times New Roman" w:hAnsi="Arial" w:cs="Arial"/>
          <w:color w:val="000000"/>
          <w:sz w:val="20"/>
          <w:szCs w:val="20"/>
          <w:lang w:eastAsia="es-BO"/>
        </w:rPr>
        <w:t>Fecha: 11/07/2006</w:t>
      </w:r>
    </w:p>
    <w:p w:rsidR="000E7B13" w:rsidRPr="006829A9" w:rsidRDefault="000E7B13" w:rsidP="000E7B13">
      <w:pPr>
        <w:shd w:val="clear" w:color="auto" w:fill="FFFFFF"/>
        <w:spacing w:after="0" w:line="240" w:lineRule="auto"/>
        <w:jc w:val="both"/>
        <w:rPr>
          <w:rFonts w:ascii="Arial" w:eastAsia="Times New Roman" w:hAnsi="Arial" w:cs="Arial"/>
          <w:b/>
          <w:color w:val="000000"/>
          <w:sz w:val="20"/>
          <w:szCs w:val="20"/>
          <w:lang w:eastAsia="es-BO"/>
        </w:rPr>
      </w:pPr>
      <w:r w:rsidRPr="006829A9">
        <w:rPr>
          <w:rFonts w:ascii="Arial" w:eastAsia="Times New Roman" w:hAnsi="Arial" w:cs="Arial"/>
          <w:b/>
          <w:color w:val="000000"/>
          <w:sz w:val="20"/>
          <w:szCs w:val="20"/>
          <w:lang w:eastAsia="es-BO"/>
        </w:rPr>
        <w:t xml:space="preserve">Antecedentes </w:t>
      </w:r>
    </w:p>
    <w:p w:rsidR="000E7B13" w:rsidRPr="006829A9" w:rsidRDefault="000E7B13" w:rsidP="000E7B13">
      <w:pPr>
        <w:shd w:val="clear" w:color="auto" w:fill="FFFFFF"/>
        <w:spacing w:after="0" w:line="240" w:lineRule="auto"/>
        <w:jc w:val="both"/>
        <w:rPr>
          <w:rFonts w:ascii="Arial" w:eastAsia="Times New Roman" w:hAnsi="Arial" w:cs="Arial"/>
          <w:color w:val="000000"/>
          <w:sz w:val="20"/>
          <w:szCs w:val="20"/>
          <w:lang w:eastAsia="es-BO"/>
        </w:rPr>
      </w:pPr>
      <w:r w:rsidRPr="006829A9">
        <w:rPr>
          <w:rFonts w:ascii="Arial" w:eastAsia="Times New Roman" w:hAnsi="Arial" w:cs="Arial"/>
          <w:color w:val="000000"/>
          <w:sz w:val="20"/>
          <w:szCs w:val="20"/>
          <w:lang w:eastAsia="es-BO"/>
        </w:rPr>
        <w:t xml:space="preserve">El Sr. Juez de primera instancia a cargo del Juzgado Criminal y Correccional de Transición n° 1, desestimó la acción de amparo interpuesta por L.A.C. con el objeto de obtener autorización judicial para realizarse una intervención quirúrgica que modifique su sexo, sin costas atendiendo a la complejidad de la cuestión planteada. El amparista se notificó y apeló a fs. 159. La Sra. Defensora General, Dra. C. B., devolvió las actuaciones que le fueron giradas para notificarse de la sentencia, explicando que en reiteradas oportunidades el demandante rechazó su intervención (fs. 158), pese a lo cual, y luego de haber transcurrido más de un mes de notificada la defensoría, la Dra. F., Defensora Oficial y titular de la unidad funcional de defensa n° 4, apeló y fundó su recurso a fs. 167. La sentencia que rechazó el amparo se fundo, esencialmente, en la carencia de libertad psíquica del peticionante que "le impide brindar un consentimiento informado, libre y esclarecido", para cambiar de identidad sexual mediante la operación para la que pide autorización, "por cuanto padece en la actualidad otros trastornos de su personalidad que van más allá de su problema de identificación sexual" (fs. 156). Tal conclusión fue fundamentada en el informe socio ambiental de fs. 45 y vta. </w:t>
      </w:r>
      <w:proofErr w:type="gramStart"/>
      <w:r w:rsidRPr="006829A9">
        <w:rPr>
          <w:rFonts w:ascii="Arial" w:eastAsia="Times New Roman" w:hAnsi="Arial" w:cs="Arial"/>
          <w:color w:val="000000"/>
          <w:sz w:val="20"/>
          <w:szCs w:val="20"/>
          <w:lang w:eastAsia="es-BO"/>
        </w:rPr>
        <w:t>en</w:t>
      </w:r>
      <w:proofErr w:type="gramEnd"/>
      <w:r w:rsidRPr="006829A9">
        <w:rPr>
          <w:rFonts w:ascii="Arial" w:eastAsia="Times New Roman" w:hAnsi="Arial" w:cs="Arial"/>
          <w:color w:val="000000"/>
          <w:sz w:val="20"/>
          <w:szCs w:val="20"/>
          <w:lang w:eastAsia="es-BO"/>
        </w:rPr>
        <w:t xml:space="preserve"> la pericia psicológica - psiquiátrica de fs. 49/53, en el dictamen del Comité de Bioética de fs. 86/95, y en el informe psicológico -psiquiátrico del servicio de salud mental del H.I.G.A. de fs. 134/135.</w:t>
      </w:r>
    </w:p>
    <w:p w:rsidR="000E7B13" w:rsidRPr="006829A9" w:rsidRDefault="000E7B13" w:rsidP="000E7B13">
      <w:pPr>
        <w:shd w:val="clear" w:color="auto" w:fill="FFFFFF"/>
        <w:spacing w:after="0" w:line="240" w:lineRule="auto"/>
        <w:jc w:val="both"/>
        <w:rPr>
          <w:rFonts w:ascii="Arial" w:eastAsia="Times New Roman" w:hAnsi="Arial" w:cs="Arial"/>
          <w:b/>
          <w:color w:val="000000"/>
          <w:sz w:val="20"/>
          <w:szCs w:val="20"/>
          <w:lang w:eastAsia="es-BO"/>
        </w:rPr>
      </w:pPr>
      <w:r w:rsidRPr="006829A9">
        <w:rPr>
          <w:rFonts w:ascii="Arial" w:eastAsia="Times New Roman" w:hAnsi="Arial" w:cs="Arial"/>
          <w:b/>
          <w:color w:val="000000"/>
          <w:sz w:val="20"/>
          <w:szCs w:val="20"/>
          <w:lang w:eastAsia="es-BO"/>
        </w:rPr>
        <w:t xml:space="preserve">Sentencia </w:t>
      </w:r>
    </w:p>
    <w:p w:rsidR="000E7B13" w:rsidRPr="006829A9" w:rsidRDefault="000E7B13" w:rsidP="000E7B13">
      <w:pPr>
        <w:shd w:val="clear" w:color="auto" w:fill="FFFFFF"/>
        <w:spacing w:after="0" w:line="240" w:lineRule="auto"/>
        <w:jc w:val="both"/>
        <w:rPr>
          <w:rFonts w:ascii="Arial" w:eastAsia="Times New Roman" w:hAnsi="Arial" w:cs="Arial"/>
          <w:color w:val="000000"/>
          <w:sz w:val="20"/>
          <w:szCs w:val="20"/>
          <w:lang w:eastAsia="es-BO"/>
        </w:rPr>
      </w:pPr>
      <w:r w:rsidRPr="006829A9">
        <w:rPr>
          <w:rFonts w:ascii="Arial" w:eastAsia="Times New Roman" w:hAnsi="Arial" w:cs="Arial"/>
          <w:color w:val="000000"/>
          <w:sz w:val="20"/>
          <w:szCs w:val="20"/>
          <w:lang w:eastAsia="es-BO"/>
        </w:rPr>
        <w:t>Con fundamento en el acuerdo precedente se confirma la sentencia apelada. Sin costas.</w:t>
      </w:r>
    </w:p>
    <w:p w:rsidR="000E7B13" w:rsidRPr="006829A9" w:rsidRDefault="000E7B13" w:rsidP="000E7B13">
      <w:pPr>
        <w:shd w:val="clear" w:color="auto" w:fill="FFFFFF"/>
        <w:spacing w:after="0" w:line="240" w:lineRule="auto"/>
        <w:jc w:val="both"/>
        <w:rPr>
          <w:rFonts w:ascii="Arial" w:eastAsia="Times New Roman" w:hAnsi="Arial" w:cs="Arial"/>
          <w:color w:val="000000"/>
          <w:sz w:val="20"/>
          <w:szCs w:val="20"/>
          <w:lang w:eastAsia="es-BO"/>
        </w:rPr>
      </w:pPr>
      <w:r w:rsidRPr="006829A9">
        <w:rPr>
          <w:rFonts w:ascii="Arial" w:eastAsia="Times New Roman" w:hAnsi="Arial" w:cs="Arial"/>
          <w:color w:val="000000"/>
          <w:sz w:val="20"/>
          <w:szCs w:val="20"/>
          <w:lang w:eastAsia="es-BO"/>
        </w:rPr>
        <w:t>Notifíquese personalmente o por cédula (art. 135 del CPC). Devuélvase. —</w:t>
      </w:r>
    </w:p>
    <w:p w:rsidR="00683406" w:rsidRDefault="00683406"/>
    <w:sectPr w:rsidR="0068340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5895" w:rsidRDefault="00BD5895" w:rsidP="000E7B13">
      <w:pPr>
        <w:spacing w:after="0" w:line="240" w:lineRule="auto"/>
      </w:pPr>
      <w:r>
        <w:separator/>
      </w:r>
    </w:p>
  </w:endnote>
  <w:endnote w:type="continuationSeparator" w:id="0">
    <w:p w:rsidR="00BD5895" w:rsidRDefault="00BD5895" w:rsidP="000E7B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5895" w:rsidRDefault="00BD5895" w:rsidP="000E7B13">
      <w:pPr>
        <w:spacing w:after="0" w:line="240" w:lineRule="auto"/>
      </w:pPr>
      <w:r>
        <w:separator/>
      </w:r>
    </w:p>
  </w:footnote>
  <w:footnote w:type="continuationSeparator" w:id="0">
    <w:p w:rsidR="00BD5895" w:rsidRDefault="00BD5895" w:rsidP="000E7B13">
      <w:pPr>
        <w:spacing w:after="0" w:line="240" w:lineRule="auto"/>
      </w:pPr>
      <w:r>
        <w:continuationSeparator/>
      </w:r>
    </w:p>
  </w:footnote>
  <w:footnote w:id="1">
    <w:p w:rsidR="000E7B13" w:rsidRDefault="000E7B13" w:rsidP="000E7B13">
      <w:pPr>
        <w:pStyle w:val="Textonotapie"/>
        <w:jc w:val="both"/>
      </w:pPr>
      <w:r>
        <w:rPr>
          <w:rStyle w:val="Refdenotaalpie"/>
        </w:rPr>
        <w:footnoteRef/>
      </w:r>
      <w:r>
        <w:t xml:space="preserve"> Anexo JU/DIDE/ARG/2 Para ver la </w:t>
      </w:r>
      <w:r w:rsidRPr="00711B4F">
        <w:t xml:space="preserve">norma in extenso, </w:t>
      </w:r>
      <w:r>
        <w:t xml:space="preserve">también puede utilizar los siguientes links </w:t>
      </w:r>
      <w:hyperlink r:id="rId1" w:history="1">
        <w:r w:rsidRPr="005719DD">
          <w:rPr>
            <w:rStyle w:val="Hipervnculo"/>
          </w:rPr>
          <w:t>https://programaddssrr.files.wordpress.com/2013/05/caso-l-a-c-_2006_.pdf</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B13"/>
    <w:rsid w:val="000E7B13"/>
    <w:rsid w:val="00683406"/>
    <w:rsid w:val="00BD5895"/>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B1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E7B13"/>
    <w:rPr>
      <w:color w:val="0000FF" w:themeColor="hyperlink"/>
      <w:u w:val="single"/>
    </w:rPr>
  </w:style>
  <w:style w:type="paragraph" w:styleId="Textonotapie">
    <w:name w:val="footnote text"/>
    <w:aliases w:val="Ref. de nota al pie1,Texto de nota al pie,referencia nota al pie,Fago Fußnotenzeichen,Appel note de bas de page,Footnotes refss,Footnote number,BVI fnr,f,4_G,16 Point,Superscript 6 Point,Ref. de nota al pie 2,Nota a pie,Ref,de nota al pie"/>
    <w:basedOn w:val="Normal"/>
    <w:link w:val="TextonotapieCar"/>
    <w:uiPriority w:val="99"/>
    <w:unhideWhenUsed/>
    <w:qFormat/>
    <w:rsid w:val="000E7B13"/>
    <w:pPr>
      <w:spacing w:after="0" w:line="240" w:lineRule="auto"/>
    </w:pPr>
    <w:rPr>
      <w:sz w:val="20"/>
      <w:szCs w:val="20"/>
    </w:rPr>
  </w:style>
  <w:style w:type="character" w:customStyle="1" w:styleId="TextonotapieCar">
    <w:name w:val="Texto nota pie Car"/>
    <w:aliases w:val="Ref. de nota al pie1 Car,Texto de nota al pie Car,referencia nota al pie Car,Fago Fußnotenzeichen Car,Appel note de bas de page Car,Footnotes refss Car,Footnote number Car,BVI fnr Car,f Car,4_G Car,16 Point Car,Superscript 6 Point Car"/>
    <w:basedOn w:val="Fuentedeprrafopredeter"/>
    <w:link w:val="Textonotapie"/>
    <w:uiPriority w:val="99"/>
    <w:rsid w:val="000E7B13"/>
    <w:rPr>
      <w:sz w:val="20"/>
      <w:szCs w:val="20"/>
    </w:rPr>
  </w:style>
  <w:style w:type="character" w:styleId="Refdenotaalpie">
    <w:name w:val="footnote reference"/>
    <w:basedOn w:val="Fuentedeprrafopredeter"/>
    <w:uiPriority w:val="99"/>
    <w:unhideWhenUsed/>
    <w:rsid w:val="000E7B13"/>
    <w:rPr>
      <w:vertAlign w:val="superscript"/>
    </w:rPr>
  </w:style>
  <w:style w:type="paragraph" w:styleId="Textodeglobo">
    <w:name w:val="Balloon Text"/>
    <w:basedOn w:val="Normal"/>
    <w:link w:val="TextodegloboCar"/>
    <w:uiPriority w:val="99"/>
    <w:semiHidden/>
    <w:unhideWhenUsed/>
    <w:rsid w:val="000E7B1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E7B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B1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E7B13"/>
    <w:rPr>
      <w:color w:val="0000FF" w:themeColor="hyperlink"/>
      <w:u w:val="single"/>
    </w:rPr>
  </w:style>
  <w:style w:type="paragraph" w:styleId="Textonotapie">
    <w:name w:val="footnote text"/>
    <w:aliases w:val="Ref. de nota al pie1,Texto de nota al pie,referencia nota al pie,Fago Fußnotenzeichen,Appel note de bas de page,Footnotes refss,Footnote number,BVI fnr,f,4_G,16 Point,Superscript 6 Point,Ref. de nota al pie 2,Nota a pie,Ref,de nota al pie"/>
    <w:basedOn w:val="Normal"/>
    <w:link w:val="TextonotapieCar"/>
    <w:uiPriority w:val="99"/>
    <w:unhideWhenUsed/>
    <w:qFormat/>
    <w:rsid w:val="000E7B13"/>
    <w:pPr>
      <w:spacing w:after="0" w:line="240" w:lineRule="auto"/>
    </w:pPr>
    <w:rPr>
      <w:sz w:val="20"/>
      <w:szCs w:val="20"/>
    </w:rPr>
  </w:style>
  <w:style w:type="character" w:customStyle="1" w:styleId="TextonotapieCar">
    <w:name w:val="Texto nota pie Car"/>
    <w:aliases w:val="Ref. de nota al pie1 Car,Texto de nota al pie Car,referencia nota al pie Car,Fago Fußnotenzeichen Car,Appel note de bas de page Car,Footnotes refss Car,Footnote number Car,BVI fnr Car,f Car,4_G Car,16 Point Car,Superscript 6 Point Car"/>
    <w:basedOn w:val="Fuentedeprrafopredeter"/>
    <w:link w:val="Textonotapie"/>
    <w:uiPriority w:val="99"/>
    <w:rsid w:val="000E7B13"/>
    <w:rPr>
      <w:sz w:val="20"/>
      <w:szCs w:val="20"/>
    </w:rPr>
  </w:style>
  <w:style w:type="character" w:styleId="Refdenotaalpie">
    <w:name w:val="footnote reference"/>
    <w:basedOn w:val="Fuentedeprrafopredeter"/>
    <w:uiPriority w:val="99"/>
    <w:unhideWhenUsed/>
    <w:rsid w:val="000E7B13"/>
    <w:rPr>
      <w:vertAlign w:val="superscript"/>
    </w:rPr>
  </w:style>
  <w:style w:type="paragraph" w:styleId="Textodeglobo">
    <w:name w:val="Balloon Text"/>
    <w:basedOn w:val="Normal"/>
    <w:link w:val="TextodegloboCar"/>
    <w:uiPriority w:val="99"/>
    <w:semiHidden/>
    <w:unhideWhenUsed/>
    <w:rsid w:val="000E7B1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E7B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programaddssrr.files.wordpress.com/2013/05/caso-l-a-c-_2006_.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282</Words>
  <Characters>1555</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Lobo</dc:creator>
  <cp:lastModifiedBy>Lobo</cp:lastModifiedBy>
  <cp:revision>1</cp:revision>
  <dcterms:created xsi:type="dcterms:W3CDTF">2016-10-28T11:13:00Z</dcterms:created>
  <dcterms:modified xsi:type="dcterms:W3CDTF">2016-10-28T11:13:00Z</dcterms:modified>
</cp:coreProperties>
</file>