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C3" w:rsidRPr="002003C3" w:rsidRDefault="002003C3" w:rsidP="002003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BO"/>
        </w:rPr>
      </w:pPr>
      <w:r w:rsidRPr="002003C3">
        <w:rPr>
          <w:rFonts w:ascii="Arial" w:eastAsia="Times New Roman" w:hAnsi="Arial" w:cs="Arial"/>
          <w:b/>
          <w:sz w:val="20"/>
          <w:szCs w:val="20"/>
          <w:lang w:eastAsia="es-BO"/>
        </w:rPr>
        <w:t>CASE OF OLIARI AND OTHERS v. ITALY</w:t>
      </w:r>
      <w:r w:rsidRPr="002003C3">
        <w:rPr>
          <w:rStyle w:val="Refdenotaalpie"/>
          <w:rFonts w:ascii="Arial" w:eastAsia="Times New Roman" w:hAnsi="Arial" w:cs="Arial"/>
          <w:b/>
          <w:sz w:val="20"/>
          <w:szCs w:val="20"/>
          <w:lang w:eastAsia="es-BO"/>
        </w:rPr>
        <w:footnoteReference w:id="1"/>
      </w:r>
    </w:p>
    <w:p w:rsidR="002003C3" w:rsidRPr="002003C3" w:rsidRDefault="002003C3" w:rsidP="0020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BO"/>
        </w:rPr>
      </w:pPr>
      <w:r w:rsidRPr="002003C3">
        <w:rPr>
          <w:rFonts w:ascii="Arial" w:eastAsia="Times New Roman" w:hAnsi="Arial" w:cs="Arial"/>
          <w:sz w:val="20"/>
          <w:szCs w:val="20"/>
          <w:lang w:eastAsia="es-BO"/>
        </w:rPr>
        <w:t>(</w:t>
      </w:r>
      <w:proofErr w:type="spellStart"/>
      <w:r w:rsidRPr="002003C3">
        <w:rPr>
          <w:rFonts w:ascii="Arial" w:eastAsia="Times New Roman" w:hAnsi="Arial" w:cs="Arial"/>
          <w:sz w:val="20"/>
          <w:szCs w:val="20"/>
          <w:lang w:eastAsia="es-BO"/>
        </w:rPr>
        <w:t>Applications</w:t>
      </w:r>
      <w:proofErr w:type="spellEnd"/>
      <w:r w:rsidRPr="002003C3">
        <w:rPr>
          <w:rFonts w:ascii="Arial" w:eastAsia="Times New Roman" w:hAnsi="Arial" w:cs="Arial"/>
          <w:sz w:val="20"/>
          <w:szCs w:val="20"/>
          <w:lang w:eastAsia="es-BO"/>
        </w:rPr>
        <w:t xml:space="preserve"> nos. 18766/11and 36030/11)</w:t>
      </w:r>
    </w:p>
    <w:p w:rsidR="007251F6" w:rsidRPr="002003C3" w:rsidRDefault="002003C3" w:rsidP="002B1C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03C3">
        <w:rPr>
          <w:rFonts w:ascii="Arial" w:hAnsi="Arial" w:cs="Arial"/>
          <w:sz w:val="20"/>
          <w:szCs w:val="20"/>
        </w:rPr>
        <w:t>The</w:t>
      </w:r>
      <w:proofErr w:type="spellEnd"/>
      <w:r w:rsidRPr="002003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03C3">
        <w:rPr>
          <w:rFonts w:ascii="Arial" w:hAnsi="Arial" w:cs="Arial"/>
          <w:sz w:val="20"/>
          <w:szCs w:val="20"/>
        </w:rPr>
        <w:t>European</w:t>
      </w:r>
      <w:proofErr w:type="spellEnd"/>
      <w:r w:rsidRPr="002003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03C3">
        <w:rPr>
          <w:rFonts w:ascii="Arial" w:hAnsi="Arial" w:cs="Arial"/>
          <w:sz w:val="20"/>
          <w:szCs w:val="20"/>
        </w:rPr>
        <w:t>Court</w:t>
      </w:r>
      <w:proofErr w:type="spellEnd"/>
      <w:r w:rsidRPr="002003C3">
        <w:rPr>
          <w:rFonts w:ascii="Arial" w:hAnsi="Arial" w:cs="Arial"/>
          <w:sz w:val="20"/>
          <w:szCs w:val="20"/>
        </w:rPr>
        <w:t xml:space="preserve"> of Human </w:t>
      </w:r>
      <w:proofErr w:type="spellStart"/>
      <w:r w:rsidRPr="002003C3">
        <w:rPr>
          <w:rFonts w:ascii="Arial" w:hAnsi="Arial" w:cs="Arial"/>
          <w:sz w:val="20"/>
          <w:szCs w:val="20"/>
        </w:rPr>
        <w:t>Rights</w:t>
      </w:r>
      <w:proofErr w:type="spellEnd"/>
    </w:p>
    <w:p w:rsidR="00827FB8" w:rsidRPr="002003C3" w:rsidRDefault="002B1CDD" w:rsidP="002B1C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3C3">
        <w:rPr>
          <w:rFonts w:ascii="Arial" w:hAnsi="Arial" w:cs="Arial"/>
          <w:sz w:val="20"/>
          <w:szCs w:val="20"/>
        </w:rPr>
        <w:t>Artículo 8 (Derecho al respeto de la vida privada y familiar. Relaciones homosexuales)</w:t>
      </w:r>
    </w:p>
    <w:p w:rsidR="00827FB8" w:rsidRPr="002003C3" w:rsidRDefault="00827FB8" w:rsidP="00827FB8">
      <w:pPr>
        <w:spacing w:after="120" w:line="240" w:lineRule="auto"/>
        <w:ind w:right="120"/>
        <w:rPr>
          <w:rFonts w:ascii="Arial" w:eastAsia="Times New Roman" w:hAnsi="Arial" w:cs="Arial"/>
          <w:sz w:val="20"/>
          <w:szCs w:val="20"/>
          <w:lang w:eastAsia="es-BO"/>
        </w:rPr>
      </w:pPr>
      <w:r w:rsidRPr="002003C3">
        <w:rPr>
          <w:rFonts w:ascii="Arial" w:eastAsia="Times New Roman" w:hAnsi="Arial" w:cs="Arial"/>
          <w:sz w:val="20"/>
          <w:szCs w:val="20"/>
          <w:lang w:eastAsia="es-BO"/>
        </w:rPr>
        <w:t>Sentencia de 2</w:t>
      </w:r>
      <w:r w:rsidR="002003C3" w:rsidRPr="002003C3">
        <w:rPr>
          <w:rFonts w:ascii="Arial" w:eastAsia="Times New Roman" w:hAnsi="Arial" w:cs="Arial"/>
          <w:sz w:val="20"/>
          <w:szCs w:val="20"/>
          <w:lang w:eastAsia="es-BO"/>
        </w:rPr>
        <w:t>1 de julio de 2015</w:t>
      </w:r>
      <w:r w:rsidRPr="002003C3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</w:p>
    <w:p w:rsidR="002B1CDD" w:rsidRPr="002003C3" w:rsidRDefault="002B1CDD" w:rsidP="002B1C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CDD" w:rsidRPr="002003C3" w:rsidRDefault="002B1CDD" w:rsidP="002B1C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3C3">
        <w:rPr>
          <w:rFonts w:ascii="Arial" w:hAnsi="Arial" w:cs="Arial"/>
          <w:b/>
          <w:sz w:val="20"/>
          <w:szCs w:val="20"/>
        </w:rPr>
        <w:t xml:space="preserve">Antecedentes </w:t>
      </w:r>
      <w:bookmarkStart w:id="0" w:name="_GoBack"/>
      <w:bookmarkEnd w:id="0"/>
    </w:p>
    <w:p w:rsidR="002B1CDD" w:rsidRPr="002003C3" w:rsidRDefault="002B1CDD" w:rsidP="002B1C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4C7B" w:rsidRPr="002003C3" w:rsidRDefault="00044C7B" w:rsidP="002B1CDD">
      <w:pPr>
        <w:spacing w:after="0" w:line="240" w:lineRule="auto"/>
        <w:jc w:val="both"/>
        <w:rPr>
          <w:rStyle w:val="notranslate"/>
          <w:rFonts w:ascii="Arial" w:hAnsi="Arial" w:cs="Arial"/>
          <w:sz w:val="20"/>
          <w:szCs w:val="20"/>
        </w:rPr>
      </w:pPr>
      <w:r w:rsidRPr="002003C3">
        <w:rPr>
          <w:rStyle w:val="notranslate"/>
          <w:rFonts w:ascii="Arial" w:hAnsi="Arial" w:cs="Arial"/>
          <w:sz w:val="20"/>
          <w:szCs w:val="20"/>
        </w:rPr>
        <w:t>Las demandantes son tres parejas del mismo sexo que viven en relaciones estable</w:t>
      </w:r>
      <w:r w:rsidRPr="002003C3">
        <w:rPr>
          <w:rStyle w:val="notranslate"/>
          <w:rFonts w:ascii="Arial" w:hAnsi="Arial" w:cs="Arial"/>
          <w:sz w:val="20"/>
          <w:szCs w:val="20"/>
        </w:rPr>
        <w:t>s</w:t>
      </w:r>
      <w:r w:rsidRPr="002003C3">
        <w:rPr>
          <w:rStyle w:val="notranslate"/>
          <w:rFonts w:ascii="Arial" w:hAnsi="Arial" w:cs="Arial"/>
          <w:sz w:val="20"/>
          <w:szCs w:val="20"/>
        </w:rPr>
        <w:t xml:space="preserve"> </w:t>
      </w:r>
      <w:r w:rsidRPr="002003C3">
        <w:rPr>
          <w:rStyle w:val="notranslate"/>
          <w:rFonts w:ascii="Arial" w:hAnsi="Arial" w:cs="Arial"/>
          <w:sz w:val="20"/>
          <w:szCs w:val="20"/>
        </w:rPr>
        <w:t xml:space="preserve">que no se les permitió casarse </w:t>
      </w:r>
      <w:r w:rsidRPr="002003C3">
        <w:rPr>
          <w:rStyle w:val="notranslate"/>
          <w:rFonts w:ascii="Arial" w:hAnsi="Arial" w:cs="Arial"/>
          <w:sz w:val="20"/>
          <w:szCs w:val="20"/>
        </w:rPr>
        <w:t>porque el Código Civil italiano establece que los cónyuges tenían que ser del sexo opuesto.</w:t>
      </w:r>
      <w:r w:rsidRPr="002003C3">
        <w:rPr>
          <w:rFonts w:ascii="Arial" w:hAnsi="Arial" w:cs="Arial"/>
          <w:sz w:val="20"/>
          <w:szCs w:val="20"/>
        </w:rPr>
        <w:t xml:space="preserve"> </w:t>
      </w:r>
      <w:r w:rsidRPr="002003C3">
        <w:rPr>
          <w:rStyle w:val="notranslate"/>
          <w:rFonts w:ascii="Arial" w:hAnsi="Arial" w:cs="Arial"/>
          <w:sz w:val="20"/>
          <w:szCs w:val="20"/>
        </w:rPr>
        <w:t>A raíz de una apelación de la primera pareja, el tribunal remitió al Tribunal Constitucional la cuestión de la constitucionalidad de la legislación pertinente.</w:t>
      </w:r>
      <w:r w:rsidRPr="002003C3">
        <w:rPr>
          <w:rFonts w:ascii="Arial" w:hAnsi="Arial" w:cs="Arial"/>
          <w:sz w:val="20"/>
          <w:szCs w:val="20"/>
        </w:rPr>
        <w:t xml:space="preserve"> </w:t>
      </w:r>
      <w:r w:rsidRPr="002003C3">
        <w:rPr>
          <w:rStyle w:val="notranslate"/>
          <w:rFonts w:ascii="Arial" w:hAnsi="Arial" w:cs="Arial"/>
          <w:sz w:val="20"/>
          <w:szCs w:val="20"/>
        </w:rPr>
        <w:t>En abril de 2010, el Tribunal Constitucional declaró inadmisible la impugnación constitucional de los demandantes, tras constatar que el derecho al matrimonio, garantizado por la Constitución italiana, no se extendía a las uniones homosexuales y tenía la intención de referirse al matrimonio en su sentido tradicional.</w:t>
      </w:r>
      <w:r w:rsidRPr="002003C3">
        <w:rPr>
          <w:rFonts w:ascii="Arial" w:hAnsi="Arial" w:cs="Arial"/>
          <w:sz w:val="20"/>
          <w:szCs w:val="20"/>
        </w:rPr>
        <w:t xml:space="preserve"> </w:t>
      </w:r>
      <w:r w:rsidRPr="002003C3">
        <w:rPr>
          <w:rStyle w:val="notranslate"/>
          <w:rFonts w:ascii="Arial" w:hAnsi="Arial" w:cs="Arial"/>
          <w:sz w:val="20"/>
          <w:szCs w:val="20"/>
        </w:rPr>
        <w:t>Al mismo tiempo, el Tribunal Constitucional señaló que corresponde al Parlamento regular, en el tiempo y por los medios y límites impuestos por la ley, el reconocimiento jurídico de los derechos y deberes de las parejas del mismo sexo.</w:t>
      </w:r>
      <w:r w:rsidRPr="002003C3">
        <w:rPr>
          <w:rFonts w:ascii="Arial" w:hAnsi="Arial" w:cs="Arial"/>
          <w:sz w:val="20"/>
          <w:szCs w:val="20"/>
        </w:rPr>
        <w:t xml:space="preserve"> </w:t>
      </w:r>
      <w:r w:rsidRPr="002003C3">
        <w:rPr>
          <w:rStyle w:val="notranslate"/>
          <w:rFonts w:ascii="Arial" w:hAnsi="Arial" w:cs="Arial"/>
          <w:sz w:val="20"/>
          <w:szCs w:val="20"/>
        </w:rPr>
        <w:t>En consecuencia, el recurso de casación fue desestimado.</w:t>
      </w:r>
    </w:p>
    <w:p w:rsidR="002B1CDD" w:rsidRPr="002003C3" w:rsidRDefault="002B1CDD" w:rsidP="002B1C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1CDD" w:rsidRPr="002003C3" w:rsidRDefault="002B1CDD" w:rsidP="002B1C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3C3">
        <w:rPr>
          <w:rFonts w:ascii="Arial" w:hAnsi="Arial" w:cs="Arial"/>
          <w:b/>
          <w:sz w:val="20"/>
          <w:szCs w:val="20"/>
        </w:rPr>
        <w:t>Sentencia</w:t>
      </w:r>
    </w:p>
    <w:p w:rsidR="002B1CDD" w:rsidRPr="002003C3" w:rsidRDefault="002B1CDD" w:rsidP="002B1C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698" w:rsidRPr="002003C3" w:rsidRDefault="00200698" w:rsidP="002B1CDD">
      <w:pPr>
        <w:spacing w:after="0" w:line="240" w:lineRule="auto"/>
        <w:jc w:val="both"/>
        <w:rPr>
          <w:rStyle w:val="notranslate"/>
          <w:rFonts w:ascii="Arial" w:hAnsi="Arial" w:cs="Arial"/>
          <w:sz w:val="20"/>
          <w:szCs w:val="20"/>
        </w:rPr>
      </w:pPr>
      <w:r w:rsidRPr="002003C3">
        <w:rPr>
          <w:rStyle w:val="notranslate"/>
          <w:rFonts w:ascii="Arial" w:hAnsi="Arial" w:cs="Arial"/>
          <w:sz w:val="20"/>
          <w:szCs w:val="20"/>
        </w:rPr>
        <w:t xml:space="preserve">La Corte ya había sostenido en casos anteriores que las relaciones de parejas del mismo sexo que vivían </w:t>
      </w:r>
      <w:r w:rsidRPr="002003C3">
        <w:rPr>
          <w:rStyle w:val="notranslate"/>
          <w:rFonts w:ascii="Arial" w:hAnsi="Arial" w:cs="Arial"/>
          <w:sz w:val="20"/>
          <w:szCs w:val="20"/>
        </w:rPr>
        <w:t xml:space="preserve">de manera </w:t>
      </w:r>
      <w:r w:rsidRPr="002003C3">
        <w:rPr>
          <w:rStyle w:val="notranslate"/>
          <w:rFonts w:ascii="Arial" w:hAnsi="Arial" w:cs="Arial"/>
          <w:sz w:val="20"/>
          <w:szCs w:val="20"/>
        </w:rPr>
        <w:t xml:space="preserve">estable se incluían en el concepto de "vida familiar" en el sentido del artículo 8. También reconoció que </w:t>
      </w:r>
      <w:r w:rsidRPr="002003C3">
        <w:rPr>
          <w:rStyle w:val="notranslate"/>
          <w:rFonts w:ascii="Arial" w:hAnsi="Arial" w:cs="Arial"/>
          <w:sz w:val="20"/>
          <w:szCs w:val="20"/>
        </w:rPr>
        <w:t>l</w:t>
      </w:r>
      <w:r w:rsidRPr="002003C3">
        <w:rPr>
          <w:rStyle w:val="notranslate"/>
          <w:rFonts w:ascii="Arial" w:hAnsi="Arial" w:cs="Arial"/>
          <w:sz w:val="20"/>
          <w:szCs w:val="20"/>
        </w:rPr>
        <w:t>as parejas necesitaban el reconocimiento legal y la protección de su relación, como lo subrayaron tanto la Asamblea Parlamentaria como el Comité de Ministros del Consejo de Europa.</w:t>
      </w:r>
    </w:p>
    <w:p w:rsidR="00200698" w:rsidRPr="002003C3" w:rsidRDefault="00200698" w:rsidP="002B1CDD">
      <w:pPr>
        <w:spacing w:after="0" w:line="240" w:lineRule="auto"/>
        <w:jc w:val="both"/>
        <w:rPr>
          <w:rStyle w:val="notranslate"/>
          <w:rFonts w:ascii="Arial" w:hAnsi="Arial" w:cs="Arial"/>
          <w:sz w:val="20"/>
          <w:szCs w:val="20"/>
        </w:rPr>
      </w:pPr>
    </w:p>
    <w:p w:rsidR="002003C3" w:rsidRPr="002003C3" w:rsidRDefault="00200698" w:rsidP="002B1CDD">
      <w:pPr>
        <w:spacing w:after="0" w:line="240" w:lineRule="auto"/>
        <w:jc w:val="both"/>
        <w:rPr>
          <w:rStyle w:val="notranslate"/>
          <w:rFonts w:ascii="Arial" w:hAnsi="Arial" w:cs="Arial"/>
          <w:sz w:val="20"/>
          <w:szCs w:val="20"/>
        </w:rPr>
      </w:pPr>
      <w:r w:rsidRPr="002003C3">
        <w:rPr>
          <w:rStyle w:val="notranslate"/>
          <w:rFonts w:ascii="Arial" w:hAnsi="Arial" w:cs="Arial"/>
          <w:sz w:val="20"/>
          <w:szCs w:val="20"/>
        </w:rPr>
        <w:t xml:space="preserve">En tal sentido </w:t>
      </w:r>
      <w:r w:rsidR="00044C7B" w:rsidRPr="002003C3">
        <w:rPr>
          <w:rStyle w:val="notranslate"/>
          <w:rFonts w:ascii="Arial" w:hAnsi="Arial" w:cs="Arial"/>
          <w:sz w:val="20"/>
          <w:szCs w:val="20"/>
        </w:rPr>
        <w:t xml:space="preserve">Italia ha incumplido su obligación de garantizar que los demandantes dispongan de un marco jurídico específico que prevea el reconocimiento y la protección de su </w:t>
      </w:r>
      <w:r w:rsidR="002003C3" w:rsidRPr="002003C3">
        <w:rPr>
          <w:rStyle w:val="notranslate"/>
          <w:rFonts w:ascii="Arial" w:hAnsi="Arial" w:cs="Arial"/>
          <w:sz w:val="20"/>
          <w:szCs w:val="20"/>
        </w:rPr>
        <w:t>relación.</w:t>
      </w:r>
    </w:p>
    <w:p w:rsidR="002003C3" w:rsidRPr="002003C3" w:rsidRDefault="002003C3" w:rsidP="002B1CDD">
      <w:pPr>
        <w:spacing w:after="0" w:line="240" w:lineRule="auto"/>
        <w:jc w:val="both"/>
        <w:rPr>
          <w:rStyle w:val="notranslate"/>
          <w:rFonts w:ascii="Arial" w:hAnsi="Arial" w:cs="Arial"/>
          <w:sz w:val="20"/>
          <w:szCs w:val="20"/>
        </w:rPr>
      </w:pPr>
    </w:p>
    <w:p w:rsidR="002B1CDD" w:rsidRPr="002003C3" w:rsidRDefault="002003C3" w:rsidP="002B1C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3C3">
        <w:rPr>
          <w:rStyle w:val="notranslate"/>
          <w:rFonts w:ascii="Arial" w:hAnsi="Arial" w:cs="Arial"/>
          <w:sz w:val="20"/>
          <w:szCs w:val="20"/>
        </w:rPr>
        <w:t>El Tribunal consideró que la protección jurídica actualmente disponible en Italia a las parejas del mismo sexo no permitía satisfacer las necesidades básicas pertinentes a una pareja en una relación estable y comprometida.</w:t>
      </w:r>
      <w:r w:rsidRPr="002003C3">
        <w:rPr>
          <w:rFonts w:ascii="Arial" w:hAnsi="Arial" w:cs="Arial"/>
          <w:sz w:val="20"/>
          <w:szCs w:val="20"/>
        </w:rPr>
        <w:t xml:space="preserve"> </w:t>
      </w:r>
      <w:r w:rsidRPr="002003C3">
        <w:rPr>
          <w:rStyle w:val="notranslate"/>
          <w:rFonts w:ascii="Arial" w:hAnsi="Arial" w:cs="Arial"/>
          <w:sz w:val="20"/>
          <w:szCs w:val="20"/>
        </w:rPr>
        <w:t>Mientras que el registro de las uniones de personas del mismo sexo con las autoridades locales era posible en alrededor del 2% de los municipios, esto tenía un valor meramente simbólico y no confería ningún derecho a las parejas del mismo sexo.</w:t>
      </w:r>
      <w:r w:rsidRPr="002003C3">
        <w:rPr>
          <w:rFonts w:ascii="Arial" w:hAnsi="Arial" w:cs="Arial"/>
          <w:sz w:val="20"/>
          <w:szCs w:val="20"/>
        </w:rPr>
        <w:t xml:space="preserve"> </w:t>
      </w:r>
      <w:r w:rsidRPr="002003C3">
        <w:rPr>
          <w:rStyle w:val="notranslate"/>
          <w:rFonts w:ascii="Arial" w:hAnsi="Arial" w:cs="Arial"/>
          <w:sz w:val="20"/>
          <w:szCs w:val="20"/>
        </w:rPr>
        <w:t>Desde diciembre de 2013, las parejas del mismo sexo han tenido la posibilidad de celebrar «convenios de cohabitación», cuyo alcance, sin embargo, es bastante limitado.</w:t>
      </w:r>
      <w:r w:rsidRPr="002003C3">
        <w:rPr>
          <w:rFonts w:ascii="Arial" w:hAnsi="Arial" w:cs="Arial"/>
          <w:sz w:val="20"/>
          <w:szCs w:val="20"/>
        </w:rPr>
        <w:t xml:space="preserve"> </w:t>
      </w:r>
      <w:r w:rsidRPr="002003C3">
        <w:rPr>
          <w:rStyle w:val="notranslate"/>
          <w:rFonts w:ascii="Arial" w:hAnsi="Arial" w:cs="Arial"/>
          <w:sz w:val="20"/>
          <w:szCs w:val="20"/>
        </w:rPr>
        <w:t>No lograron prever algunas necesidades básicas fundamentales para la regulación de una relación estable entre una pareja, como el apoyo material mutuo, las obligaciones de alimentos y los derechos de herencia.</w:t>
      </w:r>
      <w:r w:rsidRPr="002003C3">
        <w:rPr>
          <w:rFonts w:ascii="Arial" w:hAnsi="Arial" w:cs="Arial"/>
          <w:sz w:val="20"/>
          <w:szCs w:val="20"/>
        </w:rPr>
        <w:t xml:space="preserve"> </w:t>
      </w:r>
      <w:r w:rsidRPr="002003C3">
        <w:rPr>
          <w:rStyle w:val="notranslate"/>
          <w:rFonts w:ascii="Arial" w:hAnsi="Arial" w:cs="Arial"/>
          <w:sz w:val="20"/>
          <w:szCs w:val="20"/>
        </w:rPr>
        <w:t>Por otra parte, tales acuerdos estaban abiertos a cualquier persona que vivía en cohabitación, lo que significaba que no tenían como objetivo p</w:t>
      </w:r>
      <w:r w:rsidRPr="002003C3">
        <w:rPr>
          <w:rStyle w:val="notranslate"/>
          <w:rFonts w:ascii="Arial" w:hAnsi="Arial" w:cs="Arial"/>
          <w:sz w:val="20"/>
          <w:szCs w:val="20"/>
        </w:rPr>
        <w:t>rincipal proteger a estas</w:t>
      </w:r>
      <w:r w:rsidRPr="002003C3">
        <w:rPr>
          <w:rStyle w:val="notranslate"/>
          <w:rFonts w:ascii="Arial" w:hAnsi="Arial" w:cs="Arial"/>
          <w:sz w:val="20"/>
          <w:szCs w:val="20"/>
        </w:rPr>
        <w:t xml:space="preserve"> parejas.</w:t>
      </w:r>
      <w:r w:rsidRPr="002003C3">
        <w:rPr>
          <w:rFonts w:ascii="Arial" w:hAnsi="Arial" w:cs="Arial"/>
          <w:sz w:val="20"/>
          <w:szCs w:val="20"/>
        </w:rPr>
        <w:t xml:space="preserve"> </w:t>
      </w:r>
      <w:r w:rsidRPr="002003C3">
        <w:rPr>
          <w:rStyle w:val="notranslate"/>
          <w:rFonts w:ascii="Arial" w:hAnsi="Arial" w:cs="Arial"/>
          <w:sz w:val="20"/>
          <w:szCs w:val="20"/>
        </w:rPr>
        <w:t>Además, exigían que la pareja estuviera conviviendo, mientras que la Corte ya había aceptado que la convivencia no era un requisito previo para la existencia de una unión estable</w:t>
      </w:r>
      <w:r w:rsidRPr="002003C3">
        <w:rPr>
          <w:rStyle w:val="notranslate"/>
          <w:rFonts w:ascii="Arial" w:hAnsi="Arial" w:cs="Arial"/>
          <w:sz w:val="20"/>
          <w:szCs w:val="20"/>
        </w:rPr>
        <w:t>.</w:t>
      </w:r>
    </w:p>
    <w:p w:rsidR="002B1CDD" w:rsidRPr="002003C3" w:rsidRDefault="002B1CDD" w:rsidP="002B1CDD">
      <w:pPr>
        <w:rPr>
          <w:rFonts w:ascii="Arial" w:hAnsi="Arial" w:cs="Arial"/>
          <w:sz w:val="20"/>
          <w:szCs w:val="20"/>
        </w:rPr>
      </w:pPr>
    </w:p>
    <w:p w:rsidR="00AB24C6" w:rsidRDefault="00AB24C6"/>
    <w:sectPr w:rsidR="00AB24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A1" w:rsidRDefault="00B93EA1" w:rsidP="002B1CDD">
      <w:pPr>
        <w:spacing w:after="0" w:line="240" w:lineRule="auto"/>
      </w:pPr>
      <w:r>
        <w:separator/>
      </w:r>
    </w:p>
  </w:endnote>
  <w:endnote w:type="continuationSeparator" w:id="0">
    <w:p w:rsidR="00B93EA1" w:rsidRDefault="00B93EA1" w:rsidP="002B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A1" w:rsidRDefault="00B93EA1" w:rsidP="002B1CDD">
      <w:pPr>
        <w:spacing w:after="0" w:line="240" w:lineRule="auto"/>
      </w:pPr>
      <w:r>
        <w:separator/>
      </w:r>
    </w:p>
  </w:footnote>
  <w:footnote w:type="continuationSeparator" w:id="0">
    <w:p w:rsidR="00B93EA1" w:rsidRDefault="00B93EA1" w:rsidP="002B1CDD">
      <w:pPr>
        <w:spacing w:after="0" w:line="240" w:lineRule="auto"/>
      </w:pPr>
      <w:r>
        <w:continuationSeparator/>
      </w:r>
    </w:p>
  </w:footnote>
  <w:footnote w:id="1">
    <w:p w:rsidR="002003C3" w:rsidRDefault="002003C3">
      <w:pPr>
        <w:pStyle w:val="Textonotapie"/>
      </w:pPr>
      <w:r>
        <w:rPr>
          <w:rStyle w:val="Refdenotaalpie"/>
        </w:rPr>
        <w:footnoteRef/>
      </w:r>
      <w:r>
        <w:t xml:space="preserve"> Leer sentencia completa en: </w:t>
      </w:r>
      <w:r w:rsidRPr="002003C3">
        <w:t>https://www.ansa.it/documents/1437477197622_lasentenza.pdf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DD"/>
    <w:rsid w:val="00044C7B"/>
    <w:rsid w:val="002003C3"/>
    <w:rsid w:val="00200698"/>
    <w:rsid w:val="002B1CDD"/>
    <w:rsid w:val="00545EF4"/>
    <w:rsid w:val="00652445"/>
    <w:rsid w:val="007251F6"/>
    <w:rsid w:val="007F048E"/>
    <w:rsid w:val="00827FB8"/>
    <w:rsid w:val="00AB24C6"/>
    <w:rsid w:val="00B15345"/>
    <w:rsid w:val="00B93EA1"/>
    <w:rsid w:val="00F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3F9522-652C-4CC4-B87B-938CF261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D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1CDD"/>
    <w:rPr>
      <w:color w:val="0563C1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2B1C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2B1C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B1CDD"/>
    <w:rPr>
      <w:vertAlign w:val="superscript"/>
    </w:rPr>
  </w:style>
  <w:style w:type="character" w:customStyle="1" w:styleId="notranslate">
    <w:name w:val="notranslate"/>
    <w:basedOn w:val="Fuentedeprrafopredeter"/>
    <w:rsid w:val="002B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1C46-5E51-4E5A-8494-B789E08D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2017-05-22T14:23:00Z</dcterms:created>
  <dcterms:modified xsi:type="dcterms:W3CDTF">2017-05-22T14:23:00Z</dcterms:modified>
</cp:coreProperties>
</file>