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8745E5A" wp14:editId="03547F63">
            <wp:extent cx="380093" cy="266065"/>
            <wp:effectExtent l="0" t="0" r="1270" b="635"/>
            <wp:docPr id="258" name="Imagen 25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N. 1.712, DE 27 DE JANEIRO DE 2006, ACRE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Instituído, no âmbito do Estado do Acre, o Dia Estadual da Diversidade, comemorado no dia 13 de setembro de cada ano.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único. A data a que se refere o caput deste artigo será considerada ponto facultativo nas repartições públicas estaduais.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As atividades concernentes ao Dia Estadual da Diversidade serão definidas e coordenadas por um Conselho Gestor, assim discriminado:</w:t>
      </w:r>
    </w:p>
    <w:p w:rsidR="005C035B" w:rsidRPr="00DC5459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C5459">
        <w:rPr>
          <w:rFonts w:ascii="Arial" w:hAnsi="Arial" w:cs="Arial"/>
          <w:sz w:val="20"/>
          <w:szCs w:val="20"/>
          <w:lang w:val="pt-BR"/>
        </w:rPr>
        <w:t>I – Associação de Homossexuais do Acre;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– Agá &amp; Vida;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– Secretaria de Estado da Saúde;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IV – Fundação de Cultura Elias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Mansour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 –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Assembléia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Legislativa;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 – Prefeituras Municipais;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 – Câmara de Vereadores; e</w:t>
      </w:r>
    </w:p>
    <w:p w:rsidR="005C035B" w:rsidRPr="00164A1F" w:rsidRDefault="005C035B" w:rsidP="005C03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VIII – demais organizações da sociedade civil afetas à causa da diversidade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A7" w:rsidRDefault="00DE30A7" w:rsidP="005C035B">
      <w:pPr>
        <w:spacing w:after="0" w:line="240" w:lineRule="auto"/>
      </w:pPr>
      <w:r>
        <w:separator/>
      </w:r>
    </w:p>
  </w:endnote>
  <w:endnote w:type="continuationSeparator" w:id="0">
    <w:p w:rsidR="00DE30A7" w:rsidRDefault="00DE30A7" w:rsidP="005C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A7" w:rsidRDefault="00DE30A7" w:rsidP="005C035B">
      <w:pPr>
        <w:spacing w:after="0" w:line="240" w:lineRule="auto"/>
      </w:pPr>
      <w:r>
        <w:separator/>
      </w:r>
    </w:p>
  </w:footnote>
  <w:footnote w:type="continuationSeparator" w:id="0">
    <w:p w:rsidR="00DE30A7" w:rsidRDefault="00DE30A7" w:rsidP="005C035B">
      <w:pPr>
        <w:spacing w:after="0" w:line="240" w:lineRule="auto"/>
      </w:pPr>
      <w:r>
        <w:continuationSeparator/>
      </w:r>
    </w:p>
  </w:footnote>
  <w:footnote w:id="1">
    <w:p w:rsidR="005C035B" w:rsidRPr="00916D3C" w:rsidRDefault="005C035B" w:rsidP="005C035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BRA/PRO/25 Para ver la </w:t>
      </w:r>
      <w:r w:rsidRPr="00711B4F">
        <w:t xml:space="preserve">norma in extenso, </w:t>
      </w:r>
      <w:r>
        <w:t xml:space="preserve">también puede utilizar el siguiente link  </w:t>
      </w:r>
    </w:p>
    <w:p w:rsidR="005C035B" w:rsidRPr="00916D3C" w:rsidRDefault="005C035B" w:rsidP="005C035B">
      <w:pPr>
        <w:pStyle w:val="Textonotapie"/>
      </w:pPr>
      <w:hyperlink r:id="rId1" w:history="1">
        <w:r w:rsidRPr="00916D3C">
          <w:rPr>
            <w:rStyle w:val="Hipervnculo"/>
          </w:rPr>
          <w:t>http://www.al.ac.leg.br/leis/wp-content/uploads/2014/09/Lei1712.pdf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5B"/>
    <w:rsid w:val="00454480"/>
    <w:rsid w:val="005C035B"/>
    <w:rsid w:val="00D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E2982C-3A75-4D12-BB51-9FF26D5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35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C03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03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0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ac.leg.br/leis/wp-content/uploads/2014/09/Lei17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2016-11-02T00:49:00Z</dcterms:created>
  <dcterms:modified xsi:type="dcterms:W3CDTF">2016-11-02T00:49:00Z</dcterms:modified>
</cp:coreProperties>
</file>