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8F" w:rsidRPr="00164A1F" w:rsidRDefault="00D65E8F" w:rsidP="00D65E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482BB21" wp14:editId="6651BFB2">
            <wp:extent cx="380093" cy="266065"/>
            <wp:effectExtent l="0" t="0" r="1270" b="635"/>
            <wp:docPr id="263" name="Imagen 26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8F" w:rsidRPr="00164A1F" w:rsidRDefault="00D65E8F" w:rsidP="00D65E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15.30.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ATO Nº 1075 ESPIRITO SANTO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65E8F" w:rsidRPr="00164A1F" w:rsidRDefault="00D65E8F" w:rsidP="00D65E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Autorizar a formação da Frente Parlamentar Estadual pela cidadania LGBT, conforme previsto na Constituição Federal, integrada pelos Deputados Claudio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Vereza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, Lúcia Dornellas, Luzia Toledo, Solange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Lube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, Roberto Carlos, Sandro Locutor,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Genivaldo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Lievore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, Dr. Henrique Vargas,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Dary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Pagung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>, Luiz Durão, José Carlos Elias e outros que a ela, posteriormente, aderirem com os objetivos de:</w:t>
      </w:r>
    </w:p>
    <w:p w:rsidR="00D65E8F" w:rsidRPr="00164A1F" w:rsidRDefault="00D65E8F" w:rsidP="00D65E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 – Estudar, programar, discutir, articular, propor e apoiar ações e medidas de interesse para a população de lésbicas, gays, bissexuais, travestis e transexuais, constituindo-se como um canal permanente de comunicação com o público LGBT, com o Governo do Estado e com as Prefeituras Municipais, no que compete as suas atribuições no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proceso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de formulação e implantação dos programas para os homossexuais e para o combate a homofobia.</w:t>
      </w:r>
    </w:p>
    <w:p w:rsidR="00D65E8F" w:rsidRPr="00164A1F" w:rsidRDefault="00D65E8F" w:rsidP="00D65E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– Garantir sempre a participação popular a ser exercida por representantes das entidades civis e dos fóruns, especialmente por aquelas representadas por lésbicas, gays, bissexuais, travestis e transexuais e de Direitos Humanos.</w:t>
      </w:r>
    </w:p>
    <w:p w:rsidR="00D65E8F" w:rsidRPr="00164A1F" w:rsidRDefault="00D65E8F" w:rsidP="00D65E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III – Dar ampla divulgação do seu trabalho através dos órgãos de comunicação e, em especial, da TV Assembleia e de outros espaços de divulgação e de publicação.</w:t>
      </w:r>
    </w:p>
    <w:p w:rsidR="00D65E8F" w:rsidRPr="00164A1F" w:rsidRDefault="00D65E8F" w:rsidP="00D65E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 Art. 2º Após sua instalação, a Frente Parlamentar Estadual, elegerá dentre seus integrantes, o seu Presidente e o Secretário Executivo.</w:t>
      </w:r>
    </w:p>
    <w:p w:rsidR="00454480" w:rsidRDefault="00D65E8F" w:rsidP="00D65E8F">
      <w:r w:rsidRPr="00164A1F">
        <w:rPr>
          <w:rFonts w:ascii="Arial" w:hAnsi="Arial" w:cs="Arial"/>
          <w:sz w:val="20"/>
          <w:szCs w:val="20"/>
          <w:lang w:val="pt-BR"/>
        </w:rPr>
        <w:t xml:space="preserve">Parágrafo único. Cabe à Frente Parlamentar Estadual pela cidadania LGBT, conforme previsto na Constituição Federal, discutir e aprovar, entre seus integrantes, seu Regimento Interno e seus programas de ação e estratégias de atuação, que se submeterão às normas legais que regem a administração pública e regimentais que disciplinam a atividade legislativa. 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D0" w:rsidRDefault="007D21D0" w:rsidP="00D65E8F">
      <w:pPr>
        <w:spacing w:after="0" w:line="240" w:lineRule="auto"/>
      </w:pPr>
      <w:r>
        <w:separator/>
      </w:r>
    </w:p>
  </w:endnote>
  <w:endnote w:type="continuationSeparator" w:id="0">
    <w:p w:rsidR="007D21D0" w:rsidRDefault="007D21D0" w:rsidP="00D6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D0" w:rsidRDefault="007D21D0" w:rsidP="00D65E8F">
      <w:pPr>
        <w:spacing w:after="0" w:line="240" w:lineRule="auto"/>
      </w:pPr>
      <w:r>
        <w:separator/>
      </w:r>
    </w:p>
  </w:footnote>
  <w:footnote w:type="continuationSeparator" w:id="0">
    <w:p w:rsidR="007D21D0" w:rsidRDefault="007D21D0" w:rsidP="00D65E8F">
      <w:pPr>
        <w:spacing w:after="0" w:line="240" w:lineRule="auto"/>
      </w:pPr>
      <w:r>
        <w:continuationSeparator/>
      </w:r>
    </w:p>
  </w:footnote>
  <w:footnote w:id="1">
    <w:p w:rsidR="00D65E8F" w:rsidRPr="00916D3C" w:rsidRDefault="00D65E8F" w:rsidP="00D65E8F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BRA/PRO/30 Para ver la </w:t>
      </w:r>
      <w:r w:rsidRPr="00711B4F">
        <w:t xml:space="preserve">norma in extenso, </w:t>
      </w:r>
      <w:r>
        <w:t xml:space="preserve">también puede utilizar el siguiente link  </w:t>
      </w:r>
    </w:p>
    <w:p w:rsidR="00D65E8F" w:rsidRPr="00916D3C" w:rsidRDefault="00D65E8F" w:rsidP="00D65E8F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http://dh.sdh.gov.br/download/conferencias/legisltacao-LGBT/ES.pdf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8F"/>
    <w:rsid w:val="00454480"/>
    <w:rsid w:val="007D21D0"/>
    <w:rsid w:val="00D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3F0438-2305-481C-BB42-97656B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5E8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65E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65E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5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2016-11-02T00:51:00Z</dcterms:created>
  <dcterms:modified xsi:type="dcterms:W3CDTF">2016-11-02T00:52:00Z</dcterms:modified>
</cp:coreProperties>
</file>