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3F" w:rsidRPr="00164A1F" w:rsidRDefault="00F82D3F" w:rsidP="00F82D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D64C4DF" wp14:editId="5DE180B7">
            <wp:extent cx="406213" cy="276225"/>
            <wp:effectExtent l="0" t="0" r="0" b="0"/>
            <wp:docPr id="301" name="Imagen 30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3F" w:rsidRPr="00DC5459" w:rsidRDefault="00F82D3F" w:rsidP="00F82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DC5459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15.69. </w:t>
      </w:r>
      <w:bookmarkStart w:id="0" w:name="_GoBack"/>
      <w:r w:rsidRPr="00DC5459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DECRETO SUPREMO N° 189, DE 1 DE JULIO DE 2009</w:t>
      </w:r>
      <w:bookmarkEnd w:id="0"/>
      <w:r w:rsidRPr="00DC5459">
        <w:rPr>
          <w:rStyle w:val="Refdenotaalpie"/>
          <w:rFonts w:ascii="Arial" w:hAnsi="Arial" w:cs="Arial"/>
          <w:b/>
          <w:color w:val="000000" w:themeColor="text1"/>
          <w:sz w:val="20"/>
          <w:szCs w:val="20"/>
          <w:lang w:val="pt-BR"/>
        </w:rPr>
        <w:footnoteReference w:id="1"/>
      </w:r>
      <w:r w:rsidRPr="00DC5459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</w:p>
    <w:p w:rsidR="00F82D3F" w:rsidRDefault="00F82D3F" w:rsidP="00F82D3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459">
        <w:rPr>
          <w:rFonts w:ascii="Arial" w:hAnsi="Arial" w:cs="Arial"/>
          <w:color w:val="000000" w:themeColor="text1"/>
          <w:sz w:val="20"/>
          <w:szCs w:val="20"/>
        </w:rPr>
        <w:t>Artículo 1°.- (Objeto) El presente Decreto Supremo tiene por objeto declarar el "Día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de los Derechos de la Población con orientación sexual diversa en Bolivia".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82D3F" w:rsidRDefault="00F82D3F" w:rsidP="00F82D3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459">
        <w:rPr>
          <w:rFonts w:ascii="Arial" w:hAnsi="Arial" w:cs="Arial"/>
          <w:color w:val="000000" w:themeColor="text1"/>
          <w:sz w:val="20"/>
          <w:szCs w:val="20"/>
        </w:rPr>
        <w:t>Artículo 2°.- (Declaratoria) Se declara en todo el territorio del Estado Plurinacional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de Bolivia el 28 de junio de cada año como "Día de los Derechos de la Población con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orientación sexual diversa en Bolivia".</w:t>
      </w:r>
    </w:p>
    <w:p w:rsidR="00F82D3F" w:rsidRPr="00DC5459" w:rsidRDefault="00F82D3F" w:rsidP="00F82D3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459">
        <w:rPr>
          <w:rFonts w:ascii="Arial" w:hAnsi="Arial" w:cs="Arial"/>
          <w:color w:val="000000" w:themeColor="text1"/>
          <w:sz w:val="20"/>
          <w:szCs w:val="20"/>
        </w:rPr>
        <w:t>Artículo 3°.- (Promoción de los derechos humanos)</w:t>
      </w:r>
    </w:p>
    <w:p w:rsidR="00F82D3F" w:rsidRPr="00DC5459" w:rsidRDefault="00F82D3F" w:rsidP="00F82D3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459">
        <w:rPr>
          <w:rFonts w:ascii="Arial" w:hAnsi="Arial" w:cs="Arial"/>
          <w:color w:val="000000" w:themeColor="text1"/>
          <w:sz w:val="20"/>
          <w:szCs w:val="20"/>
        </w:rPr>
        <w:t>I. Los Ministerios de Justicia, de Educación y de Culturas, coordinarán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realización de actos públicos en el marco de lo señalado en el Artículo 2 del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presente Decreto Supremo.</w:t>
      </w:r>
    </w:p>
    <w:p w:rsidR="00F82D3F" w:rsidRPr="00DC5459" w:rsidRDefault="00F82D3F" w:rsidP="00F82D3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459">
        <w:rPr>
          <w:rFonts w:ascii="Arial" w:hAnsi="Arial" w:cs="Arial"/>
          <w:color w:val="000000" w:themeColor="text1"/>
          <w:sz w:val="20"/>
          <w:szCs w:val="20"/>
        </w:rPr>
        <w:t>II. Los Ministerios del Órgano Ejecutivo, en el ámbito de sus competencias 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atribuciones, coadyuvarán en la promoción de los derechos humanos de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t>población con orientación sexual diversa en Bolivia.</w:t>
      </w:r>
      <w:r w:rsidRPr="00DC5459">
        <w:rPr>
          <w:rFonts w:ascii="Arial" w:hAnsi="Arial" w:cs="Arial"/>
          <w:color w:val="000000" w:themeColor="text1"/>
          <w:sz w:val="20"/>
          <w:szCs w:val="20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AB" w:rsidRDefault="00C344AB" w:rsidP="00F82D3F">
      <w:pPr>
        <w:spacing w:after="0" w:line="240" w:lineRule="auto"/>
      </w:pPr>
      <w:r>
        <w:separator/>
      </w:r>
    </w:p>
  </w:endnote>
  <w:endnote w:type="continuationSeparator" w:id="0">
    <w:p w:rsidR="00C344AB" w:rsidRDefault="00C344AB" w:rsidP="00F8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AB" w:rsidRDefault="00C344AB" w:rsidP="00F82D3F">
      <w:pPr>
        <w:spacing w:after="0" w:line="240" w:lineRule="auto"/>
      </w:pPr>
      <w:r>
        <w:separator/>
      </w:r>
    </w:p>
  </w:footnote>
  <w:footnote w:type="continuationSeparator" w:id="0">
    <w:p w:rsidR="00C344AB" w:rsidRDefault="00C344AB" w:rsidP="00F82D3F">
      <w:pPr>
        <w:spacing w:after="0" w:line="240" w:lineRule="auto"/>
      </w:pPr>
      <w:r>
        <w:continuationSeparator/>
      </w:r>
    </w:p>
  </w:footnote>
  <w:footnote w:id="1">
    <w:p w:rsidR="00F82D3F" w:rsidRPr="00DC5459" w:rsidRDefault="00F82D3F" w:rsidP="00F82D3F">
      <w:pPr>
        <w:pStyle w:val="Textonotapie"/>
      </w:pPr>
      <w:r>
        <w:rPr>
          <w:rStyle w:val="Refdenotaalpie"/>
        </w:rPr>
        <w:footnoteRef/>
      </w:r>
      <w:r w:rsidRPr="00DC5459">
        <w:t xml:space="preserve"> Anexo </w:t>
      </w:r>
      <w:r>
        <w:t xml:space="preserve">BOL/PRO/02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C5459">
          <w:rPr>
            <w:rStyle w:val="Hipervnculo"/>
          </w:rPr>
          <w:t>http://www.lexivox.org/norms/BO-DS-N189.pdf</w:t>
        </w:r>
      </w:hyperlink>
    </w:p>
    <w:p w:rsidR="00F82D3F" w:rsidRPr="00DC5459" w:rsidRDefault="00F82D3F" w:rsidP="00F82D3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F"/>
    <w:rsid w:val="00454480"/>
    <w:rsid w:val="00C344AB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882446-9F07-4D56-BCEE-9773612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D3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82D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2D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2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DS-N18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2016-11-02T01:19:00Z</dcterms:created>
  <dcterms:modified xsi:type="dcterms:W3CDTF">2016-11-02T01:19:00Z</dcterms:modified>
</cp:coreProperties>
</file>