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AC" w:rsidRPr="00164A1F" w:rsidRDefault="006604AC" w:rsidP="006604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346E3AC" wp14:editId="41990B69">
            <wp:extent cx="380093" cy="266065"/>
            <wp:effectExtent l="0" t="0" r="1270" b="635"/>
            <wp:docPr id="240" name="Imagen 24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AC" w:rsidRPr="00164A1F" w:rsidRDefault="006604AC" w:rsidP="006604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15.7. </w:t>
      </w:r>
      <w:bookmarkStart w:id="0" w:name="_GoBack"/>
      <w:proofErr w:type="gramStart"/>
      <w:r w:rsidRPr="00164A1F">
        <w:rPr>
          <w:rFonts w:ascii="Arial" w:hAnsi="Arial" w:cs="Arial"/>
          <w:b/>
          <w:sz w:val="20"/>
          <w:szCs w:val="20"/>
          <w:lang w:val="pt-BR"/>
        </w:rPr>
        <w:t>LEI  COMPLEMENTAR</w:t>
      </w:r>
      <w:proofErr w:type="gramEnd"/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 Nº 532,  DE  17  DE NOVEMBRO  DE 2009, RONDONIA (BRASIL)</w:t>
      </w:r>
      <w:bookmarkEnd w:id="0"/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6604AC" w:rsidRPr="00164A1F" w:rsidRDefault="006604AC" w:rsidP="006604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XIII – coordenar, planejar, elaborar, implantar e implementar a Política Estadual de Direitos Humanos de Lésbicas, Gays, Bissexuais e Travestis, em consonância com o Plano Nacional de Direitos Humanos e Cidadania LGBT;</w:t>
      </w:r>
    </w:p>
    <w:p w:rsidR="006604AC" w:rsidRPr="00164A1F" w:rsidRDefault="006604AC" w:rsidP="006604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VIII – à Secretaria de Estado de Assistência Social – SEAS:</w:t>
      </w:r>
    </w:p>
    <w:p w:rsidR="006604AC" w:rsidRPr="00164A1F" w:rsidRDefault="006604AC" w:rsidP="006604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a) coordenar, planejar, elaborar, implantar e implementar a Política Estadual de:</w:t>
      </w:r>
    </w:p>
    <w:p w:rsidR="006604AC" w:rsidRPr="00164A1F" w:rsidRDefault="006604AC" w:rsidP="006604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6 - Direitos Humanos de Lésbicas, Gays, Bissexuais e Travestis, em consonância com o Plano Nacional de Direitos Humanos e Cidadania LGBT;  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75" w:rsidRDefault="00CA2F75" w:rsidP="006604AC">
      <w:pPr>
        <w:spacing w:after="0" w:line="240" w:lineRule="auto"/>
      </w:pPr>
      <w:r>
        <w:separator/>
      </w:r>
    </w:p>
  </w:endnote>
  <w:endnote w:type="continuationSeparator" w:id="0">
    <w:p w:rsidR="00CA2F75" w:rsidRDefault="00CA2F75" w:rsidP="0066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75" w:rsidRDefault="00CA2F75" w:rsidP="006604AC">
      <w:pPr>
        <w:spacing w:after="0" w:line="240" w:lineRule="auto"/>
      </w:pPr>
      <w:r>
        <w:separator/>
      </w:r>
    </w:p>
  </w:footnote>
  <w:footnote w:type="continuationSeparator" w:id="0">
    <w:p w:rsidR="00CA2F75" w:rsidRDefault="00CA2F75" w:rsidP="006604AC">
      <w:pPr>
        <w:spacing w:after="0" w:line="240" w:lineRule="auto"/>
      </w:pPr>
      <w:r>
        <w:continuationSeparator/>
      </w:r>
    </w:p>
  </w:footnote>
  <w:footnote w:id="1">
    <w:p w:rsidR="006604AC" w:rsidRPr="00916D3C" w:rsidRDefault="006604AC" w:rsidP="006604AC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BRA/PRO/07 Para ver la </w:t>
      </w:r>
      <w:r w:rsidRPr="00711B4F">
        <w:t xml:space="preserve">norma in extenso, </w:t>
      </w:r>
      <w:r>
        <w:t xml:space="preserve">también puede utilizar el siguiente link  </w:t>
      </w:r>
    </w:p>
    <w:p w:rsidR="006604AC" w:rsidRPr="00916D3C" w:rsidRDefault="006604AC" w:rsidP="006604AC">
      <w:pPr>
        <w:pStyle w:val="Textonotapie"/>
      </w:pPr>
      <w:hyperlink r:id="rId1" w:history="1">
        <w:r w:rsidRPr="00916D3C">
          <w:rPr>
            <w:rStyle w:val="Hipervnculo"/>
          </w:rPr>
          <w:t>http://cotel.casacivil.ro.gov.br/COTEL/Livros/Files/LC532.doc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AC"/>
    <w:rsid w:val="00454480"/>
    <w:rsid w:val="006604AC"/>
    <w:rsid w:val="00C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6E896A-D55B-424A-B8FE-5E03D3C0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04A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604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604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0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tel.casacivil.ro.gov.br/COTEL/Livros/Files/LC532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2016-11-02T00:35:00Z</dcterms:created>
  <dcterms:modified xsi:type="dcterms:W3CDTF">2016-11-02T00:36:00Z</dcterms:modified>
</cp:coreProperties>
</file>