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99" w:rsidRDefault="00945D99" w:rsidP="00945D99">
      <w:pPr>
        <w:spacing w:after="0" w:line="240" w:lineRule="auto"/>
        <w:jc w:val="both"/>
        <w:rPr>
          <w:rFonts w:ascii="Arial" w:hAnsi="Arial" w:cs="Arial"/>
          <w:b/>
          <w:sz w:val="20"/>
          <w:szCs w:val="20"/>
        </w:rPr>
      </w:pPr>
      <w:r>
        <w:rPr>
          <w:noProof/>
          <w:lang w:eastAsia="es-BO"/>
        </w:rPr>
        <w:drawing>
          <wp:inline distT="0" distB="0" distL="0" distR="0" wp14:anchorId="42FB8E80" wp14:editId="4796AC6D">
            <wp:extent cx="393405" cy="262271"/>
            <wp:effectExtent l="0" t="0" r="6985" b="4445"/>
            <wp:docPr id="1" name="Imagen 1" descr="Bander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as Naciones Uni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33503" cy="289003"/>
                    </a:xfrm>
                    <a:prstGeom prst="rect">
                      <a:avLst/>
                    </a:prstGeom>
                    <a:noFill/>
                    <a:ln>
                      <a:noFill/>
                    </a:ln>
                  </pic:spPr>
                </pic:pic>
              </a:graphicData>
            </a:graphic>
          </wp:inline>
        </w:drawing>
      </w:r>
    </w:p>
    <w:p w:rsidR="00945D99" w:rsidRPr="00016B7D" w:rsidRDefault="00945D99" w:rsidP="00945D99">
      <w:pPr>
        <w:spacing w:after="0" w:line="240" w:lineRule="auto"/>
        <w:jc w:val="both"/>
        <w:rPr>
          <w:rFonts w:ascii="Arial" w:hAnsi="Arial" w:cs="Arial"/>
          <w:b/>
          <w:sz w:val="20"/>
          <w:szCs w:val="20"/>
        </w:rPr>
      </w:pPr>
      <w:r w:rsidRPr="00016B7D">
        <w:rPr>
          <w:rFonts w:ascii="Arial" w:hAnsi="Arial" w:cs="Arial"/>
          <w:b/>
          <w:sz w:val="20"/>
          <w:szCs w:val="20"/>
        </w:rPr>
        <w:t xml:space="preserve">2.1.7. </w:t>
      </w:r>
      <w:r w:rsidRPr="00016B7D">
        <w:rPr>
          <w:rFonts w:ascii="Arial" w:hAnsi="Arial" w:cs="Arial"/>
          <w:b/>
          <w:sz w:val="20"/>
          <w:szCs w:val="20"/>
        </w:rPr>
        <w:tab/>
        <w:t>CONVENCIÓN SOBRE LA ELIMINACIÓN DE TODAS LAS FORMAS DE DISCRIMINACIÓN CONTRA LA MUJER</w:t>
      </w:r>
      <w:r w:rsidRPr="00016B7D">
        <w:rPr>
          <w:rStyle w:val="Refdenotaalpie"/>
          <w:rFonts w:ascii="Arial" w:hAnsi="Arial" w:cs="Arial"/>
          <w:b/>
          <w:sz w:val="20"/>
          <w:szCs w:val="20"/>
        </w:rPr>
        <w:footnoteReference w:id="1"/>
      </w:r>
    </w:p>
    <w:p w:rsidR="00945D99" w:rsidRPr="00016B7D" w:rsidRDefault="00945D99" w:rsidP="00945D99">
      <w:pPr>
        <w:spacing w:after="0" w:line="240" w:lineRule="auto"/>
        <w:jc w:val="both"/>
        <w:rPr>
          <w:rFonts w:ascii="Arial" w:hAnsi="Arial" w:cs="Arial"/>
          <w:b/>
          <w:sz w:val="20"/>
          <w:szCs w:val="20"/>
        </w:rPr>
      </w:pPr>
      <w:bookmarkStart w:id="0" w:name="_GoBack"/>
      <w:bookmarkEnd w:id="0"/>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2</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b) Adoptar medidas adecuadas, legislativas y de otro carácter, con las sanciones correspondientes, que prohíban toda discriminación contra la mujer;</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 xml:space="preserve">c) Establecer la protección jurídica de los derechos de la mujer sobre una </w:t>
      </w:r>
      <w:proofErr w:type="spellStart"/>
      <w:r w:rsidRPr="00016B7D">
        <w:rPr>
          <w:rFonts w:ascii="Arial" w:hAnsi="Arial" w:cs="Arial"/>
          <w:sz w:val="20"/>
          <w:szCs w:val="20"/>
        </w:rPr>
        <w:t>basede</w:t>
      </w:r>
      <w:proofErr w:type="spellEnd"/>
      <w:r w:rsidRPr="00016B7D">
        <w:rPr>
          <w:rFonts w:ascii="Arial" w:hAnsi="Arial" w:cs="Arial"/>
          <w:sz w:val="20"/>
          <w:szCs w:val="20"/>
        </w:rPr>
        <w:t xml:space="preserve"> igualdad con los del hombre y garantizar, por conducto de los tribunales nacionales o competentes y de otras instituciones públicas, la protección efectiva de la mujer contra todo acto de discriminación;</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d) Abstenerse de incurrir en todo acto a práctica de discriminación contra la mujer y velar porque las autoridades e instituciones públicas actúen de conformidad con esta obligación;</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 Tomar todas las medidas apropiadas para eliminar la discriminación contra la mujer practicada por cualesquiera personas, organizaciones o empresas;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 xml:space="preserve">f) Adaptar </w:t>
      </w:r>
      <w:proofErr w:type="gramStart"/>
      <w:r w:rsidRPr="00016B7D">
        <w:rPr>
          <w:rFonts w:ascii="Arial" w:hAnsi="Arial" w:cs="Arial"/>
          <w:sz w:val="20"/>
          <w:szCs w:val="20"/>
        </w:rPr>
        <w:t>todos</w:t>
      </w:r>
      <w:proofErr w:type="gramEnd"/>
      <w:r w:rsidRPr="00016B7D">
        <w:rPr>
          <w:rFonts w:ascii="Arial" w:hAnsi="Arial" w:cs="Arial"/>
          <w:sz w:val="20"/>
          <w:szCs w:val="20"/>
        </w:rPr>
        <w:t xml:space="preserve"> las medidas adecuadas, incluso de carácter legislativo, para modificar o derogar leyes, reglamentos, usos y prácticas que constituyan discriminación contra la mujer;</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g) Derogar todas las disposiciones penales nacionales que constituyan discriminación contra la mujer.</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Articulo 3</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Articulo 4</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lastRenderedPageBreak/>
        <w:t>2. La adopción por los Estados Partes de medidas especiales, incluso las contenidas en la presente Convención, encaminadas a proteger la maternidad no se considerará discriminatoria.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Articulo 5</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tomarán todas las medidas apropiadas para: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6</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tomarán todas las medidas apropiadas, incluso de carácter legislativo, para suprimir todas las formas de trata de mujeres y explotación de la prostitución de la mujer.</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PARTE II</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7</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 xml:space="preserve">Los Estados Partes tomarán todas las medidas apropiadas para eliminar la discriminación contra la mujer en la vida política y pública del país y, en particular, garantizando, en igualdad de condiciones con los hombres el derecho </w:t>
      </w:r>
      <w:proofErr w:type="gramStart"/>
      <w:r w:rsidRPr="00016B7D">
        <w:rPr>
          <w:rFonts w:ascii="Arial" w:hAnsi="Arial" w:cs="Arial"/>
          <w:sz w:val="20"/>
          <w:szCs w:val="20"/>
        </w:rPr>
        <w:t>a</w:t>
      </w:r>
      <w:proofErr w:type="gramEnd"/>
      <w:r w:rsidRPr="00016B7D">
        <w:rPr>
          <w:rFonts w:ascii="Arial" w:hAnsi="Arial" w:cs="Arial"/>
          <w:sz w:val="20"/>
          <w:szCs w:val="20"/>
        </w:rPr>
        <w:t>:</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w:t>
      </w:r>
      <w:r w:rsidRPr="00016B7D">
        <w:rPr>
          <w:rFonts w:ascii="Arial" w:hAnsi="Arial" w:cs="Arial"/>
          <w:sz w:val="20"/>
          <w:szCs w:val="20"/>
        </w:rPr>
        <w:tab/>
        <w:t>Votar en todas las elecciones y referéndums públicos y ser elegibles para todos los organismos cuyos miembros sean objeto de elecciones públicas;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b)</w:t>
      </w:r>
      <w:r w:rsidRPr="00016B7D">
        <w:rPr>
          <w:rFonts w:ascii="Arial" w:hAnsi="Arial" w:cs="Arial"/>
          <w:sz w:val="20"/>
          <w:szCs w:val="20"/>
        </w:rPr>
        <w:tab/>
        <w:t>Participar en la formulación de las políticas gubernamentales y en la ejecución de éstas, y ocupar cargos públicos y ejercer todas las funciones públicas en todos los planos gubernamentales;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c)</w:t>
      </w:r>
      <w:r w:rsidRPr="00016B7D">
        <w:rPr>
          <w:rFonts w:ascii="Arial" w:hAnsi="Arial" w:cs="Arial"/>
          <w:sz w:val="20"/>
          <w:szCs w:val="20"/>
        </w:rPr>
        <w:tab/>
        <w:t>Participar en organizaciones y asociaciones no gubernamentales que se ocupen de la vida pública y política del país.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8</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9</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2. Los Estados Partes otorgarán a la mujer los mismos derechos que al hombre con respecto a la nacionalidad de sus hijos.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 xml:space="preserve"> PARTE III</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10</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b) Acceso a los mismos programas de estudios y los mismos exámenes, personal docente del mismo nivel profesional y locales y equipos escolares de la misma calidad;</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en enseñanza.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d) Las mismas oportunidades para la obtención de becas y otras subvenciones para cursar estudios;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 Las mismas oportunidades de acceso a los programas de educación complementaria, incluidos los programas de alfabetización funcional y de adultos, con miras en particular a reducir lo antes posible la diferencia de conocimientos existentes entre el hombre y la mujer;</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f) La reducción de la tasa de abandono femenino de los estudios y la organización de programas para aquellas jóvenes y mujeres que hayan dejado los estudios prematuramente;</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g) Las mismas oportunidades para participar activamente en el deporte y la educación física;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h) Acceso al material informativo específico que contribuya a asegurar la salud y el bienestar de la familia.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11</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Los Estados Partes adoptarán todas las medidas apropiadas para eliminar la discriminación contra la mujer en la esfera del empleo a fin de asegurar, en condiciones de igualdad entre hombres y mujeres, los mismos derechos, en particular:</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al trabajo como derecho inalienable de todo ser humano;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 las mismas oportunidades de empleo, inclusive a la aplicación de los mismos criterios de selección de cuestiones de empleo;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y el adiestramiento periódico;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 igual remuneración, inclusive prestaciones, y a igualdad de trato con respecto a un trabajo de igual valor, así como a igualdad de trato con respecto a la evaluación de la calidad de trabajo;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lastRenderedPageBreak/>
        <w:t>El derecho a la seguridad social, en particular en casos de jubilación, desempleo, enfermedad, invalidez, vejez u otra incapacidad para trabajar, así como el derecho a vacaciones pagadas;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 la protección de la salud y a la seguridad en las condiciones de trabajo, incluso la salvaguardia de la función de reproducción.</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2. A fin de impedir la discriminación contra la mujer por razones de matrimonio o maternidad y asegurar la efectividad de su derecho a trabajar, los Estados Partes tomarán medidas adecuadas para: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Prohibir, bajo pena de sanciones, el despido por motivo de embarazo o licencia de maternidad y la discriminación en los despidos sobre la base de estado civil;</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Implantar la licencia de maternidad con sueldo pagado o con prestaciones sociales comparables sin pérdida del empleo previo, la antigüedad o beneficios sociales;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 xml:space="preserve">Prestar protección especial a la mujer durante el embarazo en los tipos de trabajos que se haya probado </w:t>
      </w:r>
      <w:proofErr w:type="gramStart"/>
      <w:r w:rsidRPr="00016B7D">
        <w:rPr>
          <w:rFonts w:ascii="Arial" w:hAnsi="Arial" w:cs="Arial"/>
          <w:sz w:val="20"/>
          <w:szCs w:val="20"/>
        </w:rPr>
        <w:t>puedan</w:t>
      </w:r>
      <w:proofErr w:type="gramEnd"/>
      <w:r w:rsidRPr="00016B7D">
        <w:rPr>
          <w:rFonts w:ascii="Arial" w:hAnsi="Arial" w:cs="Arial"/>
          <w:sz w:val="20"/>
          <w:szCs w:val="20"/>
        </w:rPr>
        <w:t xml:space="preserve"> resultar perjudiciales para ella.</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3. La legislación protectora relacionada con las cuestiones comprendidas en este artículo será examinada periódicamente a la luz de los conocimientos científicos y tecnológicos y será revisada, derogada o ampliada según corresponda.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12</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13</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 prestaciones familiares;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 obtener préstamos bancarios, hipotecas y otras formas de crédito financiero;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derecho a participar en actividades de esparcimiento, deportes y en todos los aspectos de la vida cultural.</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14</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 xml:space="preserve">2. Los Estados Partes adoptarán todas las medidas apropiadas para eliminar la discriminación contra la mujer en las zonas rurales a fin de asegurar, en condiciones de igualdad entre hombres y </w:t>
      </w:r>
      <w:r w:rsidRPr="00016B7D">
        <w:rPr>
          <w:rFonts w:ascii="Arial" w:hAnsi="Arial" w:cs="Arial"/>
          <w:sz w:val="20"/>
          <w:szCs w:val="20"/>
        </w:rPr>
        <w:lastRenderedPageBreak/>
        <w:t>mujeres, su participación en el desarrollo rural y en sus beneficios, y en particular le asegurarán el derecho a:</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Participar en la elaboración y ejecución de los planes de desarrollo a todos los niveles;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Tener acceso a servicios adecuados de atención médica, inclusive información, asesoramiento y servicios en materia de planificación de la familia;</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Beneficiarse directamente de los programas de seguridad social;</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Organizar grupos de autoayuda y cooperativas a fin de obtener igualdad de acceso a las oportunidades económicas mediante el empleo por cuenta propia o por cuenta ajena;</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Participar en todas las actividades comunitarias;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Obtener acceso a los créditos y préstamos agrícolas, a los servicios de comercialización y a las tecnologías apropiadas, y recibir un trato igual en los planes de reforma agraria y de reasentamiento;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Gozar de condiciones de vida adecuadas, particularmente en las esferas de la vivienda, los servicios sanitarios, la electricidad y el abastecimiento de agua, el transporte y las comunicaciones.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Parte IV</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15</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Los Estados Partes reconocerán a la mujer la igualdad con el hombre ante la ley.</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2. Los Estado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3. Los Estados Partes convienen en que todo contrato o cualquier otro instrumento privado con efecto jurídico que tienda a limitar la capacidad jurídica de la mujer se considerará nulo.</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4. Los Estados Partes reconocerán al hombre y a la mujer los mismos derechos con respecto a la legislación relativa al derecho de las personas a circular libremente y a la libertad para elegir su residencia y domicilio.</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16</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mismo derecho para contraer matrimonio;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El mismo derecho para elegir libremente cónyuge y contraer matrimonio sólo por su libre albedrío y su pleno consentimiento;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mismos derechos y responsabilidades durante el matrimonio y con ocasión de su disolución;</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mismos derechos y responsabilidades como progenitores, cualquiera que sea su estado civil, en materias relacionadas con sus hijos; en todos los casos, los intereses de los hijos serán la consideración primordial;</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mismos derechos a decidir libre y responsablemente el número de sus hijos y el intervalo entre los nacimientos y a tener acceso la información, la educación y los medios que les permitan ejercer estos derechos;</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lastRenderedPageBreak/>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mismos derechos personales como marido y mujer, entre ellos el derecho a elegir apellido, profesión y ocupación;</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mismos derechos a cada uno de los cónyuges en materia de propiedad, compras, gestión, administración, goce y disposición de los bienes, tanto a título gratuito como oneroso.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17</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2. Los miembros de Comité serán elegidos en votación secreta de una lista de personas designadas por los Estados Partes. Cada uno de los Estados Partes podrá designar una persona entre sus propios nacionales.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 xml:space="preserve">4. Los miembros de Comité serán elegidos en una reunión de los Estados Partes que será convocada por el Secretario General y se celebrará en la Sede de </w:t>
      </w:r>
      <w:proofErr w:type="spellStart"/>
      <w:r w:rsidRPr="00016B7D">
        <w:rPr>
          <w:rFonts w:ascii="Arial" w:hAnsi="Arial" w:cs="Arial"/>
          <w:sz w:val="20"/>
          <w:szCs w:val="20"/>
        </w:rPr>
        <w:t>as</w:t>
      </w:r>
      <w:proofErr w:type="spellEnd"/>
      <w:r w:rsidRPr="00016B7D">
        <w:rPr>
          <w:rFonts w:ascii="Arial" w:hAnsi="Arial" w:cs="Arial"/>
          <w:sz w:val="20"/>
          <w:szCs w:val="20"/>
        </w:rPr>
        <w:t xml:space="preserve">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5. Los miembros de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6. La elección de los cinco miembros adicionales del Comité se celebrará de conformidad con lo dispuesto en los párrafos 2, 3 y 4 del presente artículo, después de que el trigésimo quinto Estado Parte haya ratificado la Convención o se haya adherido a ella. El mandado de dos de los miembros adicionales elegidos en esta ocasión, cuyos nombres designará por sorteo el Presidente de Comité, expirará al cabo de dos años.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7. Para cubrir las vacantes imprevistas, el Estado Parte cuyo experto haya cesado en sus funciones como miembro del Comité designará entre sus nacionales a otro experto a reserva de la aprobación del Comité.</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lastRenderedPageBreak/>
        <w:t>8. Los miembros del Comité, previa aprobación de la Asamblea General, percibirán emolumentos de los fondos de las Naciones Unidas en la forma y condiciones que la Asamblea determine, teniendo en cuenta la importancia de las funciones del Comité.</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9. El Secretario General de las Naciones Unidas proporcionará el personal y los servicios necesarios para el desempeño eficaz de las funciones del Comité en virtud de la presente Convención.</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18</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En el plazo de un año a partir de la entrada en vigor de la Convención para el Estado de que se trate; y</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En lo sucesivo por lo menos cada cuatro años y, además, cuando el Comité lo solicite.</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2. Se podrán indicar en los informes los factores y las dificultades que afecten al grado de cumplimiento de las obligaciones impuestas por la presente Convención.</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22</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organismos especializados tendrán derecho a estar representados en el examen de la aplicación de las disposiciones de la presente Convención que correspondan a la esfera de sus actividades. El Comité podrá invitar a los organismos especializados a que presenten informes sobre la aplicación de la Convención en las áreas que correspondan a la esfera de sus actividades.</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PARTE VI</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23</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Nada de lo dispuesto en la presente Convención afectará a disposición alguna que sea más conducente al logro de la igualdad entre hombres y mujeres y que pueda formar de:</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La legislación de un Estado Parte; o</w:t>
      </w: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Cualquier otra convención, tratado o acuerdo internacional vigente en ese Estado.</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Artículo 24</w:t>
      </w:r>
    </w:p>
    <w:p w:rsidR="00945D99" w:rsidRPr="00016B7D" w:rsidRDefault="00945D99" w:rsidP="00945D99">
      <w:pPr>
        <w:spacing w:after="0" w:line="240" w:lineRule="auto"/>
        <w:jc w:val="both"/>
        <w:rPr>
          <w:rFonts w:ascii="Arial" w:hAnsi="Arial" w:cs="Arial"/>
          <w:sz w:val="20"/>
          <w:szCs w:val="20"/>
        </w:rPr>
      </w:pPr>
    </w:p>
    <w:p w:rsidR="00945D99" w:rsidRPr="00016B7D" w:rsidRDefault="00945D99" w:rsidP="00945D99">
      <w:pPr>
        <w:spacing w:after="0" w:line="240" w:lineRule="auto"/>
        <w:jc w:val="both"/>
        <w:rPr>
          <w:rFonts w:ascii="Arial" w:hAnsi="Arial" w:cs="Arial"/>
          <w:sz w:val="20"/>
          <w:szCs w:val="20"/>
        </w:rPr>
      </w:pPr>
      <w:r w:rsidRPr="00016B7D">
        <w:rPr>
          <w:rFonts w:ascii="Arial" w:hAnsi="Arial" w:cs="Arial"/>
          <w:sz w:val="20"/>
          <w:szCs w:val="20"/>
        </w:rPr>
        <w:t>Los Estados Partes se comprometen a adoptar todas las medidas necesarias en el ámbito nacional para conseguir la plena realización de los derechos reconocidos en la presente Convención.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95" w:rsidRDefault="00810F95" w:rsidP="00945D99">
      <w:pPr>
        <w:spacing w:after="0" w:line="240" w:lineRule="auto"/>
      </w:pPr>
      <w:r>
        <w:separator/>
      </w:r>
    </w:p>
  </w:endnote>
  <w:endnote w:type="continuationSeparator" w:id="0">
    <w:p w:rsidR="00810F95" w:rsidRDefault="00810F95" w:rsidP="009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95" w:rsidRDefault="00810F95" w:rsidP="00945D99">
      <w:pPr>
        <w:spacing w:after="0" w:line="240" w:lineRule="auto"/>
      </w:pPr>
      <w:r>
        <w:separator/>
      </w:r>
    </w:p>
  </w:footnote>
  <w:footnote w:type="continuationSeparator" w:id="0">
    <w:p w:rsidR="00810F95" w:rsidRDefault="00810F95" w:rsidP="00945D99">
      <w:pPr>
        <w:spacing w:after="0" w:line="240" w:lineRule="auto"/>
      </w:pPr>
      <w:r>
        <w:continuationSeparator/>
      </w:r>
    </w:p>
  </w:footnote>
  <w:footnote w:id="1">
    <w:p w:rsidR="00945D99" w:rsidRPr="00016B7D" w:rsidRDefault="00945D99" w:rsidP="00945D99">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NNUU/DIGU/10 Para ver la norma in extenso, también puede utilizar el siguiente link    </w:t>
      </w:r>
      <w:hyperlink r:id="rId1" w:history="1">
        <w:r w:rsidRPr="00016B7D">
          <w:rPr>
            <w:rStyle w:val="Hipervnculo"/>
            <w:rFonts w:ascii="Times New Roman" w:hAnsi="Times New Roman" w:cs="Times New Roman"/>
            <w:sz w:val="18"/>
            <w:szCs w:val="18"/>
          </w:rPr>
          <w:t>http://www.un.org/womenwatch/daw/cedaw/text/sconvention.htm</w:t>
        </w:r>
      </w:hyperlink>
    </w:p>
    <w:p w:rsidR="00945D99" w:rsidRPr="00016B7D" w:rsidRDefault="00945D99" w:rsidP="00945D99">
      <w:pPr>
        <w:pStyle w:val="Textonotapie"/>
        <w:jc w:val="both"/>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99"/>
    <w:rsid w:val="00683406"/>
    <w:rsid w:val="00810F95"/>
    <w:rsid w:val="00945D9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D99"/>
    <w:rPr>
      <w:color w:val="0000FF" w:themeColor="hyperlink"/>
      <w:u w:val="single"/>
    </w:rPr>
  </w:style>
  <w:style w:type="paragraph" w:styleId="Textonotapie">
    <w:name w:val="footnote text"/>
    <w:basedOn w:val="Normal"/>
    <w:link w:val="TextonotapieCar"/>
    <w:uiPriority w:val="99"/>
    <w:unhideWhenUsed/>
    <w:rsid w:val="00945D99"/>
    <w:pPr>
      <w:spacing w:after="0" w:line="240" w:lineRule="auto"/>
    </w:pPr>
    <w:rPr>
      <w:sz w:val="20"/>
      <w:szCs w:val="20"/>
    </w:rPr>
  </w:style>
  <w:style w:type="character" w:customStyle="1" w:styleId="TextonotapieCar">
    <w:name w:val="Texto nota pie Car"/>
    <w:basedOn w:val="Fuentedeprrafopredeter"/>
    <w:link w:val="Textonotapie"/>
    <w:uiPriority w:val="99"/>
    <w:rsid w:val="00945D99"/>
    <w:rPr>
      <w:sz w:val="20"/>
      <w:szCs w:val="20"/>
    </w:rPr>
  </w:style>
  <w:style w:type="character" w:styleId="Refdenotaalpie">
    <w:name w:val="footnote reference"/>
    <w:basedOn w:val="Fuentedeprrafopredeter"/>
    <w:uiPriority w:val="99"/>
    <w:semiHidden/>
    <w:unhideWhenUsed/>
    <w:rsid w:val="00945D99"/>
    <w:rPr>
      <w:vertAlign w:val="superscript"/>
    </w:rPr>
  </w:style>
  <w:style w:type="paragraph" w:styleId="Textodeglobo">
    <w:name w:val="Balloon Text"/>
    <w:basedOn w:val="Normal"/>
    <w:link w:val="TextodegloboCar"/>
    <w:uiPriority w:val="99"/>
    <w:semiHidden/>
    <w:unhideWhenUsed/>
    <w:rsid w:val="00945D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D99"/>
    <w:rPr>
      <w:color w:val="0000FF" w:themeColor="hyperlink"/>
      <w:u w:val="single"/>
    </w:rPr>
  </w:style>
  <w:style w:type="paragraph" w:styleId="Textonotapie">
    <w:name w:val="footnote text"/>
    <w:basedOn w:val="Normal"/>
    <w:link w:val="TextonotapieCar"/>
    <w:uiPriority w:val="99"/>
    <w:unhideWhenUsed/>
    <w:rsid w:val="00945D99"/>
    <w:pPr>
      <w:spacing w:after="0" w:line="240" w:lineRule="auto"/>
    </w:pPr>
    <w:rPr>
      <w:sz w:val="20"/>
      <w:szCs w:val="20"/>
    </w:rPr>
  </w:style>
  <w:style w:type="character" w:customStyle="1" w:styleId="TextonotapieCar">
    <w:name w:val="Texto nota pie Car"/>
    <w:basedOn w:val="Fuentedeprrafopredeter"/>
    <w:link w:val="Textonotapie"/>
    <w:uiPriority w:val="99"/>
    <w:rsid w:val="00945D99"/>
    <w:rPr>
      <w:sz w:val="20"/>
      <w:szCs w:val="20"/>
    </w:rPr>
  </w:style>
  <w:style w:type="character" w:styleId="Refdenotaalpie">
    <w:name w:val="footnote reference"/>
    <w:basedOn w:val="Fuentedeprrafopredeter"/>
    <w:uiPriority w:val="99"/>
    <w:semiHidden/>
    <w:unhideWhenUsed/>
    <w:rsid w:val="00945D99"/>
    <w:rPr>
      <w:vertAlign w:val="superscript"/>
    </w:rPr>
  </w:style>
  <w:style w:type="paragraph" w:styleId="Textodeglobo">
    <w:name w:val="Balloon Text"/>
    <w:basedOn w:val="Normal"/>
    <w:link w:val="TextodegloboCar"/>
    <w:uiPriority w:val="99"/>
    <w:semiHidden/>
    <w:unhideWhenUsed/>
    <w:rsid w:val="00945D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womenwatch/daw/cedaw/text/sconvent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3242</Words>
  <Characters>17834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2016-10-31T23:06:00Z</dcterms:created>
  <dcterms:modified xsi:type="dcterms:W3CDTF">2016-10-31T23:07:00Z</dcterms:modified>
</cp:coreProperties>
</file>