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96" w:rsidRDefault="00737C96" w:rsidP="00737C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2834B24E" wp14:editId="08A91250">
            <wp:extent cx="380093" cy="266065"/>
            <wp:effectExtent l="0" t="0" r="1270" b="635"/>
            <wp:docPr id="229" name="Imagen 229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96" w:rsidRPr="00BA1BF6" w:rsidRDefault="00737C96" w:rsidP="00737C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A1BF6">
        <w:rPr>
          <w:rFonts w:ascii="Arial" w:hAnsi="Arial" w:cs="Arial"/>
          <w:b/>
          <w:sz w:val="20"/>
          <w:szCs w:val="20"/>
          <w:lang w:val="pt-BR"/>
        </w:rPr>
        <w:t xml:space="preserve">12.1. </w:t>
      </w:r>
      <w:bookmarkStart w:id="0" w:name="_GoBack"/>
      <w:r w:rsidRPr="00BA1BF6">
        <w:rPr>
          <w:rFonts w:ascii="Arial" w:hAnsi="Arial" w:cs="Arial"/>
          <w:b/>
          <w:sz w:val="20"/>
          <w:szCs w:val="20"/>
          <w:lang w:val="pt-BR"/>
        </w:rPr>
        <w:t>LEI N° 13.230, DE 27.06.2002 (D.O. 27.06.02) CEARA (BRASIL</w:t>
      </w:r>
      <w:bookmarkEnd w:id="0"/>
      <w:r w:rsidRPr="00BA1BF6">
        <w:rPr>
          <w:rFonts w:ascii="Arial" w:hAnsi="Arial" w:cs="Arial"/>
          <w:b/>
          <w:sz w:val="20"/>
          <w:szCs w:val="20"/>
          <w:lang w:val="pt-BR"/>
        </w:rPr>
        <w:t>)</w:t>
      </w:r>
      <w:r w:rsidRPr="001D558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737C96" w:rsidRPr="00BA1BF6" w:rsidRDefault="00737C96" w:rsidP="00737C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37C96" w:rsidRPr="00BA1BF6" w:rsidRDefault="00737C96" w:rsidP="00737C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A1BF6">
        <w:rPr>
          <w:rFonts w:ascii="Arial" w:hAnsi="Arial" w:cs="Arial"/>
          <w:sz w:val="20"/>
          <w:szCs w:val="20"/>
          <w:lang w:val="pt-BR"/>
        </w:rPr>
        <w:t xml:space="preserve">Art. 1º. Fica autorizado a criação nas escolas da rede pública e privada do Estado, de comissões de atendimento, notificação e prevenção à violência doméstica contra criança e adolescente. </w:t>
      </w:r>
    </w:p>
    <w:p w:rsidR="00737C96" w:rsidRPr="00BA1BF6" w:rsidRDefault="00737C96" w:rsidP="00737C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A1BF6">
        <w:rPr>
          <w:rFonts w:ascii="Arial" w:hAnsi="Arial" w:cs="Arial"/>
          <w:sz w:val="20"/>
          <w:szCs w:val="20"/>
          <w:lang w:val="pt-BR"/>
        </w:rPr>
        <w:t xml:space="preserve">Art. 2º. Compete à Comissão de Atendimento, Notificação e Prevenção à Violência Doméstica Contra Criança e Adolescentes: </w:t>
      </w:r>
    </w:p>
    <w:p w:rsidR="00737C96" w:rsidRPr="00BA1BF6" w:rsidRDefault="00737C96" w:rsidP="00737C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A1BF6">
        <w:rPr>
          <w:rFonts w:ascii="Arial" w:hAnsi="Arial" w:cs="Arial"/>
          <w:sz w:val="20"/>
          <w:szCs w:val="20"/>
          <w:lang w:val="pt-BR"/>
        </w:rPr>
        <w:t xml:space="preserve">I – identificar, atender, notificar, acompanhar e tomar as medidas cabíveis do ponto de vista educacional e psicossocial, bem como realizar o devido encaminhamento às instituições/autoridades competentes quando necessário, dos casos de violência doméstica contra crianças e adolescentes; </w:t>
      </w:r>
    </w:p>
    <w:p w:rsidR="00737C96" w:rsidRPr="00BA1BF6" w:rsidRDefault="00737C96" w:rsidP="00737C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A1BF6">
        <w:rPr>
          <w:rFonts w:ascii="Arial" w:hAnsi="Arial" w:cs="Arial"/>
          <w:sz w:val="20"/>
          <w:szCs w:val="20"/>
          <w:lang w:val="pt-BR"/>
        </w:rPr>
        <w:t xml:space="preserve">II – implantar rotinas de atendimentos nas escolas para os casos de violência doméstica em crianças e adolescentes; </w:t>
      </w:r>
    </w:p>
    <w:p w:rsidR="00737C96" w:rsidRPr="00BA1BF6" w:rsidRDefault="00737C96" w:rsidP="00737C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A1BF6">
        <w:rPr>
          <w:rFonts w:ascii="Arial" w:hAnsi="Arial" w:cs="Arial"/>
          <w:sz w:val="20"/>
          <w:szCs w:val="20"/>
          <w:lang w:val="pt-BR"/>
        </w:rPr>
        <w:t xml:space="preserve">III – notificar às autoridades competentes os casos de violência doméstica, fornecendo dados necessários e sugerindo soluções, caso julgue necessário, para que tais autoridades adotem as providências legais cabíveis; </w:t>
      </w:r>
    </w:p>
    <w:p w:rsidR="00737C96" w:rsidRPr="00BA1BF6" w:rsidRDefault="00737C96" w:rsidP="00737C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A1BF6">
        <w:rPr>
          <w:rFonts w:ascii="Arial" w:hAnsi="Arial" w:cs="Arial"/>
          <w:sz w:val="20"/>
          <w:szCs w:val="20"/>
          <w:lang w:val="pt-BR"/>
        </w:rPr>
        <w:t xml:space="preserve">IV – prestar orientação e assistência psicológica, ou encaminhar para os centros de atenção psicológica, as crianças e adolescentes vítimas, bem como os pais ou responsáveis pela criança ou adolescente, que sejam agressores; </w:t>
      </w:r>
    </w:p>
    <w:p w:rsidR="00737C96" w:rsidRPr="00BA1BF6" w:rsidRDefault="00737C96" w:rsidP="00737C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A1BF6">
        <w:rPr>
          <w:rFonts w:ascii="Arial" w:hAnsi="Arial" w:cs="Arial"/>
          <w:sz w:val="20"/>
          <w:szCs w:val="20"/>
          <w:lang w:val="pt-BR"/>
        </w:rPr>
        <w:t xml:space="preserve">V – avaliar a relação familiar da criança ou adolescente vitimada, visando identificar os riscos vivenciados por esta criança ou adolescente, no sentido de evitar a reincidência; </w:t>
      </w:r>
    </w:p>
    <w:p w:rsidR="00737C96" w:rsidRPr="00BA1BF6" w:rsidRDefault="00737C96" w:rsidP="00737C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A1BF6">
        <w:rPr>
          <w:rFonts w:ascii="Arial" w:hAnsi="Arial" w:cs="Arial"/>
          <w:sz w:val="20"/>
          <w:szCs w:val="20"/>
          <w:lang w:val="pt-BR"/>
        </w:rPr>
        <w:t xml:space="preserve">VI – desenvolver um trabalho sistemático envolvendo a comunidade escolar, no sentido de prevenir a prática de violência doméstica contra crianças e adolescentes; </w:t>
      </w:r>
    </w:p>
    <w:p w:rsidR="00737C96" w:rsidRPr="00BA1BF6" w:rsidRDefault="00737C96" w:rsidP="00737C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A1BF6">
        <w:rPr>
          <w:rFonts w:ascii="Arial" w:hAnsi="Arial" w:cs="Arial"/>
          <w:sz w:val="20"/>
          <w:szCs w:val="20"/>
          <w:lang w:val="pt-BR"/>
        </w:rPr>
        <w:t xml:space="preserve">VII – nos casos em que a vítima estiver correndo risco fatal, a comissão deve se empenhar para que a criança ou adolescente seja encaminhado a um abrigo provisório, onde deverá ser acompanhado por instituições públicas competentes até que se decida a posição das referidas autoridades. </w:t>
      </w:r>
    </w:p>
    <w:p w:rsidR="00737C96" w:rsidRPr="00BA1BF6" w:rsidRDefault="00737C96" w:rsidP="00737C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A1BF6">
        <w:rPr>
          <w:rFonts w:ascii="Arial" w:hAnsi="Arial" w:cs="Arial"/>
          <w:sz w:val="20"/>
          <w:szCs w:val="20"/>
          <w:lang w:val="pt-BR"/>
        </w:rPr>
        <w:t xml:space="preserve">Art. 3º. A Rotina de Atendimento na Escola constará de: </w:t>
      </w:r>
    </w:p>
    <w:p w:rsidR="00737C96" w:rsidRPr="00BA1BF6" w:rsidRDefault="00737C96" w:rsidP="00737C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A1BF6">
        <w:rPr>
          <w:rFonts w:ascii="Arial" w:hAnsi="Arial" w:cs="Arial"/>
          <w:sz w:val="20"/>
          <w:szCs w:val="20"/>
          <w:lang w:val="pt-BR"/>
        </w:rPr>
        <w:t xml:space="preserve">I – identificação de sinais que possam indicar a presença de violência doméstica física, negligência - psicológica e sexual; </w:t>
      </w:r>
    </w:p>
    <w:p w:rsidR="00737C96" w:rsidRPr="00BA1BF6" w:rsidRDefault="00737C96" w:rsidP="00737C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A1BF6">
        <w:rPr>
          <w:rFonts w:ascii="Arial" w:hAnsi="Arial" w:cs="Arial"/>
          <w:sz w:val="20"/>
          <w:szCs w:val="20"/>
          <w:lang w:val="pt-BR"/>
        </w:rPr>
        <w:t>II – notificação obrigatória de todos os casos à Delegacia da Criança, Conselho Tutelar ou Ministério Público Estadual, de acordo com os artigos 13 e 245 de Lei Federal 8.069/90;</w:t>
      </w:r>
    </w:p>
    <w:p w:rsidR="00737C96" w:rsidRPr="00BA1BF6" w:rsidRDefault="00737C96" w:rsidP="00737C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A1BF6">
        <w:rPr>
          <w:rFonts w:ascii="Arial" w:hAnsi="Arial" w:cs="Arial"/>
          <w:sz w:val="20"/>
          <w:szCs w:val="20"/>
          <w:lang w:val="pt-BR"/>
        </w:rPr>
        <w:t xml:space="preserve"> III – encaminhamento para o serviço de saúde dos casos que exijam um atendimento especializado; IV – a comissão manterá nos casos confirmados ou suspeitas de violência doméstica, o acompanhamento psicossocial, de forma sistemática, da criança ou adolescente, bem como de seus pais ou responsáveis. </w:t>
      </w:r>
    </w:p>
    <w:p w:rsidR="00737C96" w:rsidRPr="00BA1BF6" w:rsidRDefault="00737C96" w:rsidP="00737C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A1BF6">
        <w:rPr>
          <w:rFonts w:ascii="Arial" w:hAnsi="Arial" w:cs="Arial"/>
          <w:sz w:val="20"/>
          <w:szCs w:val="20"/>
          <w:lang w:val="pt-BR"/>
        </w:rPr>
        <w:t>§ 1º. Constitui-se violência física o emprego de força física no processo disciplinador de uma criança ou adolescente por parte de seus pais ou responsáveis. Os indicadores físicos caracterizam-se pela presença de lesões físicas como queimaduras, feridas, fraturas, que não correspondem à causa alegada.</w:t>
      </w:r>
    </w:p>
    <w:p w:rsidR="00737C96" w:rsidRPr="00BA1BF6" w:rsidRDefault="00737C96" w:rsidP="00737C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A1BF6">
        <w:rPr>
          <w:rFonts w:ascii="Arial" w:hAnsi="Arial" w:cs="Arial"/>
          <w:sz w:val="20"/>
          <w:szCs w:val="20"/>
          <w:lang w:val="pt-BR"/>
        </w:rPr>
        <w:t xml:space="preserve"> § 2º. Constitui-se negligência a omissão em prover as necessidades físicas e emocionais de uma criança ou adolescente. Os indicadores da negligência caracterizam-se pelo padrão de crescimento deficiente, ausência de higiene, fadiga, ausência de supervisão, educação e alimentação. Quando tal falha não é resultado das condições de vida dos pais ou responsáveis. </w:t>
      </w:r>
    </w:p>
    <w:p w:rsidR="00737C96" w:rsidRPr="00BA1BF6" w:rsidRDefault="00737C96" w:rsidP="00737C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A1BF6">
        <w:rPr>
          <w:rFonts w:ascii="Arial" w:hAnsi="Arial" w:cs="Arial"/>
          <w:sz w:val="20"/>
          <w:szCs w:val="20"/>
          <w:lang w:val="pt-BR"/>
        </w:rPr>
        <w:t xml:space="preserve">§ 3º. Constitui-se violência psicológica, designada também como tortura psicológica, o fato do adulto </w:t>
      </w:r>
      <w:proofErr w:type="spellStart"/>
      <w:r w:rsidRPr="00BA1BF6">
        <w:rPr>
          <w:rFonts w:ascii="Arial" w:hAnsi="Arial" w:cs="Arial"/>
          <w:sz w:val="20"/>
          <w:szCs w:val="20"/>
          <w:lang w:val="pt-BR"/>
        </w:rPr>
        <w:t>freqüentemente</w:t>
      </w:r>
      <w:proofErr w:type="spellEnd"/>
      <w:r w:rsidRPr="00BA1BF6">
        <w:rPr>
          <w:rFonts w:ascii="Arial" w:hAnsi="Arial" w:cs="Arial"/>
          <w:sz w:val="20"/>
          <w:szCs w:val="20"/>
          <w:lang w:val="pt-BR"/>
        </w:rPr>
        <w:t xml:space="preserve"> constranger a criança desrespeitando-a, causando-lhe sofrimento mental. As ameaças de abandono também podem tornar uma criança medrosa e ansiosa. Os indicadores da violência psicológica caracterizam-se por problemas de saúde. </w:t>
      </w:r>
    </w:p>
    <w:p w:rsidR="00737C96" w:rsidRPr="00BA1BF6" w:rsidRDefault="00737C96" w:rsidP="00737C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A1BF6">
        <w:rPr>
          <w:rFonts w:ascii="Arial" w:hAnsi="Arial" w:cs="Arial"/>
          <w:sz w:val="20"/>
          <w:szCs w:val="20"/>
          <w:lang w:val="pt-BR"/>
        </w:rPr>
        <w:t xml:space="preserve">§ 4º. Constitui-se violência sexual todo ato ou jogo sexual, relação </w:t>
      </w:r>
      <w:proofErr w:type="spellStart"/>
      <w:r w:rsidRPr="00BA1BF6">
        <w:rPr>
          <w:rFonts w:ascii="Arial" w:hAnsi="Arial" w:cs="Arial"/>
          <w:sz w:val="20"/>
          <w:szCs w:val="20"/>
          <w:lang w:val="pt-BR"/>
        </w:rPr>
        <w:t>hetero</w:t>
      </w:r>
      <w:proofErr w:type="spellEnd"/>
      <w:r w:rsidRPr="00BA1BF6">
        <w:rPr>
          <w:rFonts w:ascii="Arial" w:hAnsi="Arial" w:cs="Arial"/>
          <w:sz w:val="20"/>
          <w:szCs w:val="20"/>
          <w:lang w:val="pt-BR"/>
        </w:rPr>
        <w:t xml:space="preserve"> ou homossexual, entre um ou mais adultos e uma criança ou adolescente, tendo por finalidade estimular sexualmente esta criança ou adolescente ou utilizá-los para obter uma estimulação sexual sobre sua pessoa ou de outra pessoa. Os indicadores de violência sexual caracterizam-se pela dificuldade em caminhar, apresentando nas áreas genitais ou anais: dor ou inchaço; lesão ou sangramento; infecções urinárias, secreções vaginais ou penianas, enfermidades psicossomáticas.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73" w:rsidRDefault="008F7A73" w:rsidP="00737C96">
      <w:pPr>
        <w:spacing w:after="0" w:line="240" w:lineRule="auto"/>
      </w:pPr>
      <w:r>
        <w:separator/>
      </w:r>
    </w:p>
  </w:endnote>
  <w:endnote w:type="continuationSeparator" w:id="0">
    <w:p w:rsidR="008F7A73" w:rsidRDefault="008F7A73" w:rsidP="007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73" w:rsidRDefault="008F7A73" w:rsidP="00737C96">
      <w:pPr>
        <w:spacing w:after="0" w:line="240" w:lineRule="auto"/>
      </w:pPr>
      <w:r>
        <w:separator/>
      </w:r>
    </w:p>
  </w:footnote>
  <w:footnote w:type="continuationSeparator" w:id="0">
    <w:p w:rsidR="008F7A73" w:rsidRDefault="008F7A73" w:rsidP="00737C96">
      <w:pPr>
        <w:spacing w:after="0" w:line="240" w:lineRule="auto"/>
      </w:pPr>
      <w:r>
        <w:continuationSeparator/>
      </w:r>
    </w:p>
  </w:footnote>
  <w:footnote w:id="1">
    <w:p w:rsidR="00737C96" w:rsidRPr="00081B96" w:rsidRDefault="00737C96" w:rsidP="00737C96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081B96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81B96">
        <w:rPr>
          <w:rFonts w:ascii="Times New Roman" w:hAnsi="Times New Roman" w:cs="Times New Roman"/>
          <w:sz w:val="18"/>
          <w:szCs w:val="18"/>
        </w:rPr>
        <w:t xml:space="preserve"> Anexo BRA/DDNN/01 Para ver la norma in extenso, también puede utilizar el siguiente link  </w:t>
      </w:r>
      <w:hyperlink r:id="rId1" w:history="1">
        <w:r w:rsidRPr="00081B96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http://dh.sdh.gov.br/download/conferencias/legisltacao-LGBT/CE.pdf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96"/>
    <w:rsid w:val="00454480"/>
    <w:rsid w:val="00737C96"/>
    <w:rsid w:val="008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4BBBAC-0D61-4AD5-96DA-108CB210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9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7C9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37C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7C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7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2016-11-02T00:04:00Z</dcterms:created>
  <dcterms:modified xsi:type="dcterms:W3CDTF">2016-11-02T00:04:00Z</dcterms:modified>
</cp:coreProperties>
</file>