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4" w:rsidRDefault="00DC4544" w:rsidP="00DC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val="es-ES" w:eastAsia="es-BO"/>
        </w:rPr>
      </w:pPr>
      <w:r>
        <w:rPr>
          <w:noProof/>
          <w:lang w:eastAsia="es-BO"/>
        </w:rPr>
        <w:drawing>
          <wp:inline distT="0" distB="0" distL="0" distR="0" wp14:anchorId="5D6820CB" wp14:editId="7EBF020E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44" w:rsidRPr="006829A9" w:rsidRDefault="00DC4544" w:rsidP="00DC45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" w:eastAsia="es-BO"/>
        </w:rPr>
      </w:pPr>
      <w:bookmarkStart w:id="0" w:name="_GoBack"/>
      <w:bookmarkEnd w:id="0"/>
      <w:r w:rsidRPr="00DC4544">
        <w:rPr>
          <w:rFonts w:ascii="Arial" w:eastAsia="Times New Roman" w:hAnsi="Arial" w:cs="Arial"/>
          <w:b/>
          <w:color w:val="000000"/>
          <w:sz w:val="20"/>
          <w:szCs w:val="20"/>
          <w:lang w:val="es-ES" w:eastAsia="es-BO"/>
        </w:rPr>
        <w:t>LEGÌTIMA DE LA PAREJA DEL MISMO SEXO</w:t>
      </w:r>
      <w:r w:rsidRPr="00DC4544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val="es-ES" w:eastAsia="es-BO"/>
        </w:rPr>
        <w:footnoteReference w:id="1"/>
      </w:r>
    </w:p>
    <w:p w:rsidR="00DC4544" w:rsidRPr="006829A9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Corte Constitucional de Colombia</w:t>
      </w:r>
    </w:p>
    <w:p w:rsidR="00DC4544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Sentencia</w:t>
      </w:r>
      <w:r>
        <w:rPr>
          <w:rFonts w:ascii="Arial" w:hAnsi="Arial" w:cs="Arial"/>
          <w:sz w:val="20"/>
          <w:szCs w:val="20"/>
        </w:rPr>
        <w:t xml:space="preserve"> </w:t>
      </w:r>
      <w:r w:rsidRPr="006829A9">
        <w:rPr>
          <w:rFonts w:ascii="Arial" w:hAnsi="Arial" w:cs="Arial"/>
          <w:sz w:val="20"/>
          <w:szCs w:val="20"/>
        </w:rPr>
        <w:t>C-283/11</w:t>
      </w:r>
    </w:p>
    <w:p w:rsidR="00DC4544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13/04/2011</w:t>
      </w:r>
    </w:p>
    <w:p w:rsidR="00DC4544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11/11/2011</w:t>
      </w:r>
    </w:p>
    <w:p w:rsidR="00DC4544" w:rsidRPr="006829A9" w:rsidRDefault="00DC4544" w:rsidP="00DC45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DC4544" w:rsidRPr="006829A9" w:rsidRDefault="00DC4544" w:rsidP="00DC45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En términos del ciudadano Martín Alfonso Álvarez Bermúdez, los preceptos parcialmente acusados contienen un  beneficio exclusivo para quien tiene la calidad de cónyuge, excluyendo a los compañeros permanentes y a las parejas del mismo sexo, quienes desarrollan proyectos de vida estables y continuos que, como tal, tienen derecho a que lo que la legislación civil ha estructurado como una forma de protección para el cónyuge sea igualmente otorgado a quien ostenta la calidad de compañero o compañera permanente, pues  constituyen familia.</w:t>
      </w:r>
    </w:p>
    <w:p w:rsidR="00DC4544" w:rsidRPr="006829A9" w:rsidRDefault="00DC4544" w:rsidP="00DC454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DC4544" w:rsidRPr="006829A9" w:rsidRDefault="00DC4544" w:rsidP="00DC45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 xml:space="preserve">Primero.-  Declarar EXEQUIBLES los artículos 1016-5, 1045, 1054, 1226, 1230, 1231, 1232, 1234, 1235, 1236, 1237, 1238, 1243, 1248, 1249, 1251 y 1278 del Código Civil, siempre y cuando se entienda que a la porción conyugal  en ellos regulada, también tienen derecho el compañero o compañera permanente y la pareja del mismo sexo. </w:t>
      </w:r>
    </w:p>
    <w:p w:rsidR="00DC4544" w:rsidRPr="00376DD4" w:rsidRDefault="00DC4544" w:rsidP="00DC454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829A9">
        <w:rPr>
          <w:rFonts w:ascii="Arial" w:hAnsi="Arial" w:cs="Arial"/>
          <w:sz w:val="20"/>
          <w:szCs w:val="20"/>
          <w:lang w:val="es-ES"/>
        </w:rPr>
        <w:t>Segundo.- EXHORTAR al Congreso para que legisle de manera sistemática y ordenada sobre las materias relacionadas con las uniones maritales de hecho y las parejas del mismo sexo.</w:t>
      </w:r>
    </w:p>
    <w:p w:rsidR="00DC4544" w:rsidRDefault="00DC4544" w:rsidP="00DC454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36" w:rsidRDefault="00C15536" w:rsidP="00DC4544">
      <w:pPr>
        <w:spacing w:after="0" w:line="240" w:lineRule="auto"/>
      </w:pPr>
      <w:r>
        <w:separator/>
      </w:r>
    </w:p>
  </w:endnote>
  <w:endnote w:type="continuationSeparator" w:id="0">
    <w:p w:rsidR="00C15536" w:rsidRDefault="00C15536" w:rsidP="00D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36" w:rsidRDefault="00C15536" w:rsidP="00DC4544">
      <w:pPr>
        <w:spacing w:after="0" w:line="240" w:lineRule="auto"/>
      </w:pPr>
      <w:r>
        <w:separator/>
      </w:r>
    </w:p>
  </w:footnote>
  <w:footnote w:type="continuationSeparator" w:id="0">
    <w:p w:rsidR="00C15536" w:rsidRDefault="00C15536" w:rsidP="00DC4544">
      <w:pPr>
        <w:spacing w:after="0" w:line="240" w:lineRule="auto"/>
      </w:pPr>
      <w:r>
        <w:continuationSeparator/>
      </w:r>
    </w:p>
  </w:footnote>
  <w:footnote w:id="1">
    <w:p w:rsidR="00DC4544" w:rsidRPr="004536B6" w:rsidRDefault="00DC4544" w:rsidP="00DC4544">
      <w:pPr>
        <w:pStyle w:val="Textonotapie"/>
      </w:pPr>
      <w:r>
        <w:rPr>
          <w:rStyle w:val="Refdenotaalpie"/>
        </w:rPr>
        <w:footnoteRef/>
      </w:r>
      <w:r>
        <w:t xml:space="preserve"> Anexo JU/DFNFA/COL/09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659FD">
          <w:rPr>
            <w:rStyle w:val="Hipervnculo"/>
          </w:rPr>
          <w:t>http://www.corteconstitucional.gov.co/relatoria/2011/C-283-11.htm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4"/>
    <w:rsid w:val="00683406"/>
    <w:rsid w:val="00C15536"/>
    <w:rsid w:val="00D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54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C4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C45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454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454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DC45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DC45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C454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11/C-283-1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2016-10-28T02:04:00Z</dcterms:created>
  <dcterms:modified xsi:type="dcterms:W3CDTF">2016-10-28T02:05:00Z</dcterms:modified>
</cp:coreProperties>
</file>