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DB" w:rsidRPr="006829A9" w:rsidRDefault="00105BDB" w:rsidP="00105BDB">
      <w:pPr>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320D0405" wp14:editId="385FF096">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105BDB" w:rsidRPr="006829A9" w:rsidRDefault="00105BDB" w:rsidP="00105BDB">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105BDB">
        <w:rPr>
          <w:rFonts w:ascii="Arial" w:eastAsia="Times New Roman" w:hAnsi="Arial" w:cs="Arial"/>
          <w:b/>
          <w:color w:val="000000"/>
          <w:sz w:val="20"/>
          <w:szCs w:val="20"/>
          <w:lang w:eastAsia="es-BO"/>
        </w:rPr>
        <w:t>INCONSTITUCIONALIDAD DE SANCIONES MILITARES POR  “ACTOS SEXUALES CONTRA NATURA” Y “ACTOS DESHONESTOS CONTRA PERSONAS DEL MISMO SEXO”</w:t>
      </w:r>
      <w:r w:rsidRPr="00105BDB">
        <w:rPr>
          <w:rStyle w:val="Refdenotaalpie"/>
          <w:rFonts w:ascii="Arial" w:eastAsia="Times New Roman" w:hAnsi="Arial" w:cs="Arial"/>
          <w:b/>
          <w:color w:val="000000"/>
          <w:sz w:val="20"/>
          <w:szCs w:val="20"/>
          <w:lang w:eastAsia="es-BO"/>
        </w:rPr>
        <w:footnoteReference w:id="1"/>
      </w:r>
    </w:p>
    <w:p w:rsidR="00105BDB" w:rsidRPr="006829A9" w:rsidRDefault="00105BDB" w:rsidP="00105BD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Tribunal Constitucional del Perú</w:t>
      </w:r>
    </w:p>
    <w:p w:rsidR="00105BDB" w:rsidRPr="00D3322E" w:rsidRDefault="00105BDB" w:rsidP="00105BDB">
      <w:pPr>
        <w:shd w:val="clear" w:color="auto" w:fill="FFFFFF"/>
        <w:spacing w:after="0" w:line="240" w:lineRule="auto"/>
        <w:jc w:val="both"/>
        <w:rPr>
          <w:rFonts w:ascii="Arial" w:eastAsia="Times New Roman" w:hAnsi="Arial" w:cs="Arial"/>
          <w:bCs/>
          <w:color w:val="000000"/>
          <w:sz w:val="20"/>
          <w:szCs w:val="20"/>
          <w:lang w:eastAsia="es-BO"/>
        </w:rPr>
      </w:pPr>
      <w:r w:rsidRPr="00D3322E">
        <w:rPr>
          <w:rFonts w:ascii="Arial" w:eastAsia="Times New Roman" w:hAnsi="Arial" w:cs="Arial"/>
          <w:bCs/>
          <w:color w:val="000000"/>
          <w:sz w:val="20"/>
          <w:szCs w:val="20"/>
          <w:lang w:val="fr-CA" w:eastAsia="es-BO"/>
        </w:rPr>
        <w:t>EXP. N</w:t>
      </w:r>
      <w:proofErr w:type="gramStart"/>
      <w:r w:rsidRPr="00D3322E">
        <w:rPr>
          <w:rFonts w:ascii="Arial" w:eastAsia="Times New Roman" w:hAnsi="Arial" w:cs="Arial"/>
          <w:bCs/>
          <w:color w:val="000000"/>
          <w:sz w:val="20"/>
          <w:szCs w:val="20"/>
          <w:lang w:val="fr-CA" w:eastAsia="es-BO"/>
        </w:rPr>
        <w:t>.°</w:t>
      </w:r>
      <w:proofErr w:type="gramEnd"/>
      <w:r w:rsidRPr="00D3322E">
        <w:rPr>
          <w:rFonts w:ascii="Arial" w:eastAsia="Times New Roman" w:hAnsi="Arial" w:cs="Arial"/>
          <w:bCs/>
          <w:color w:val="000000"/>
          <w:sz w:val="20"/>
          <w:szCs w:val="20"/>
          <w:lang w:val="fr-CA" w:eastAsia="es-BO"/>
        </w:rPr>
        <w:t xml:space="preserve"> 0023-2003-AI/T</w:t>
      </w:r>
      <w:r w:rsidRPr="00D3322E">
        <w:rPr>
          <w:rFonts w:ascii="Arial" w:eastAsia="Times New Roman" w:hAnsi="Arial" w:cs="Arial"/>
          <w:bCs/>
          <w:color w:val="000000"/>
          <w:sz w:val="20"/>
          <w:szCs w:val="20"/>
          <w:lang w:eastAsia="es-BO"/>
        </w:rPr>
        <w:t>C</w:t>
      </w:r>
    </w:p>
    <w:p w:rsidR="00105BDB" w:rsidRPr="00D3322E" w:rsidRDefault="00105BDB" w:rsidP="00105BDB">
      <w:pPr>
        <w:shd w:val="clear" w:color="auto" w:fill="FFFFFF"/>
        <w:spacing w:after="0" w:line="240" w:lineRule="auto"/>
        <w:jc w:val="both"/>
        <w:rPr>
          <w:rFonts w:ascii="Arial" w:eastAsia="Times New Roman" w:hAnsi="Arial" w:cs="Arial"/>
          <w:color w:val="000000"/>
          <w:sz w:val="20"/>
          <w:szCs w:val="20"/>
          <w:lang w:eastAsia="es-BO"/>
        </w:rPr>
      </w:pPr>
      <w:r w:rsidRPr="00D3322E">
        <w:rPr>
          <w:rFonts w:ascii="Arial" w:eastAsia="Times New Roman" w:hAnsi="Arial" w:cs="Arial"/>
          <w:bCs/>
          <w:color w:val="000000"/>
          <w:sz w:val="20"/>
          <w:szCs w:val="20"/>
          <w:lang w:eastAsia="es-BO"/>
        </w:rPr>
        <w:t>Fecha: 09/06/2004</w:t>
      </w:r>
    </w:p>
    <w:p w:rsidR="00105BDB" w:rsidRPr="00D3322E" w:rsidRDefault="00105BDB" w:rsidP="00105BDB">
      <w:pPr>
        <w:shd w:val="clear" w:color="auto" w:fill="FFFFFF"/>
        <w:spacing w:after="0" w:line="240" w:lineRule="auto"/>
        <w:jc w:val="both"/>
        <w:rPr>
          <w:rFonts w:ascii="Arial" w:eastAsia="Times New Roman" w:hAnsi="Arial" w:cs="Arial"/>
          <w:b/>
          <w:color w:val="000000"/>
          <w:sz w:val="20"/>
          <w:szCs w:val="20"/>
          <w:lang w:eastAsia="es-BO"/>
        </w:rPr>
      </w:pPr>
      <w:r w:rsidRPr="00D3322E">
        <w:rPr>
          <w:rFonts w:ascii="Arial" w:eastAsia="Times New Roman" w:hAnsi="Arial" w:cs="Arial"/>
          <w:b/>
          <w:color w:val="000000"/>
          <w:sz w:val="20"/>
          <w:szCs w:val="20"/>
          <w:lang w:eastAsia="es-BO"/>
        </w:rPr>
        <w:t>Antecedentes</w:t>
      </w:r>
    </w:p>
    <w:p w:rsidR="00105BDB" w:rsidRPr="006829A9" w:rsidRDefault="00105BDB" w:rsidP="00105BD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Acción de Inconstitucionalidad interpuesta por la Defensoría del Pueblo contra normas militares, entre ellas el artículo 269° del CJM, ya que el mismo  contraviene los principios de exclusiva protección de bienes jurídicos y de dignidad de la persona, así como la cláusula de igualdad, por reprimir las prácticas homosexuales entre militares, aun cuando éstas se realicen fuera de un local militar.</w:t>
      </w:r>
    </w:p>
    <w:p w:rsidR="00105BDB" w:rsidRPr="00D3322E" w:rsidRDefault="00105BDB" w:rsidP="00105BDB">
      <w:pPr>
        <w:shd w:val="clear" w:color="auto" w:fill="FFFFFF"/>
        <w:spacing w:after="0" w:line="240" w:lineRule="auto"/>
        <w:jc w:val="both"/>
        <w:rPr>
          <w:rFonts w:ascii="Arial" w:eastAsia="Times New Roman" w:hAnsi="Arial" w:cs="Arial"/>
          <w:b/>
          <w:color w:val="000000"/>
          <w:sz w:val="20"/>
          <w:szCs w:val="20"/>
          <w:lang w:eastAsia="es-BO"/>
        </w:rPr>
      </w:pPr>
      <w:r w:rsidRPr="00D3322E">
        <w:rPr>
          <w:rFonts w:ascii="Arial" w:eastAsia="Times New Roman" w:hAnsi="Arial" w:cs="Arial"/>
          <w:b/>
          <w:color w:val="000000"/>
          <w:sz w:val="20"/>
          <w:szCs w:val="20"/>
          <w:lang w:eastAsia="es-BO"/>
        </w:rPr>
        <w:t xml:space="preserve">Sentencia </w:t>
      </w:r>
    </w:p>
    <w:p w:rsidR="00105BDB" w:rsidRPr="006829A9" w:rsidRDefault="00105BDB" w:rsidP="00105BD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ES_tradnl" w:eastAsia="es-BO"/>
        </w:rPr>
        <w:t>b). En segundo lugar, es inconstitucional que el juzgamiento y la sanción por la práctica de un “acto deshonesto” y “contra natura” se haya confiado a la justicia militar. Como se ha sostenido precedentemente, si entre las instituciones “administración” y “justicia” militar no existe equiparidad, entonces la calificación y enjuiciamiento de conductas de esa naturaleza no puede estar confiada a un órgano al cual se ha encargado el juzgamiento y la sanción de los delitos de función. </w:t>
      </w:r>
    </w:p>
    <w:p w:rsidR="00105BDB" w:rsidRPr="006829A9" w:rsidRDefault="00105BDB" w:rsidP="00105BDB">
      <w:pPr>
        <w:shd w:val="clear" w:color="auto" w:fill="FFFFFF"/>
        <w:spacing w:after="0" w:line="240" w:lineRule="auto"/>
        <w:jc w:val="both"/>
        <w:rPr>
          <w:rFonts w:ascii="Arial" w:eastAsia="Times New Roman" w:hAnsi="Arial" w:cs="Arial"/>
          <w:color w:val="000000"/>
          <w:sz w:val="20"/>
          <w:szCs w:val="20"/>
          <w:lang w:eastAsia="es-BO"/>
        </w:rPr>
      </w:pPr>
      <w:proofErr w:type="gramStart"/>
      <w:r w:rsidRPr="006829A9">
        <w:rPr>
          <w:rFonts w:ascii="Arial" w:eastAsia="Times New Roman" w:hAnsi="Arial" w:cs="Arial"/>
          <w:color w:val="000000"/>
          <w:sz w:val="20"/>
          <w:szCs w:val="20"/>
          <w:lang w:val="es-MX" w:eastAsia="es-BO"/>
        </w:rPr>
        <w:t>c)</w:t>
      </w:r>
      <w:proofErr w:type="gramEnd"/>
      <w:r w:rsidRPr="006829A9">
        <w:rPr>
          <w:rFonts w:ascii="Arial" w:eastAsia="Times New Roman" w:hAnsi="Arial" w:cs="Arial"/>
          <w:color w:val="000000"/>
          <w:sz w:val="20"/>
          <w:szCs w:val="20"/>
          <w:lang w:val="es-MX" w:eastAsia="es-BO"/>
        </w:rPr>
        <w:t>. En tercer lugar, es  inconstitucional, por afectar el principio de igualdad, que sólo se haya previsto como una conducta antijurídica –no importa ahora si en el sentido de naturaleza disciplinaria o como figura delictiva- la práctica de un acto deshonesto contra una persona del mismo sexo, y no, por el contrario, con igual razón, la práctica deshonesta contra una persona de sexo diferente. Si lo antijurídico es la práctica de una conducta deshonesta, no existe razón objetiva ni base razonable, para que se sancione sólo las efectuadas entre personas del mismo sexo.</w:t>
      </w:r>
    </w:p>
    <w:p w:rsidR="00105BDB" w:rsidRPr="006829A9" w:rsidRDefault="00105BDB" w:rsidP="00105BD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MX" w:eastAsia="es-BO"/>
        </w:rPr>
        <w:t>d). En cuarto lugar, es inconstitucional, por ser desproporcionado [además de no constituir un delito de función], que se haya previsto como </w:t>
      </w:r>
      <w:r w:rsidRPr="006829A9">
        <w:rPr>
          <w:rFonts w:ascii="Arial" w:eastAsia="Times New Roman" w:hAnsi="Arial" w:cs="Arial"/>
          <w:i/>
          <w:iCs/>
          <w:color w:val="000000"/>
          <w:sz w:val="20"/>
          <w:szCs w:val="20"/>
          <w:lang w:val="es-MX" w:eastAsia="es-BO"/>
        </w:rPr>
        <w:t>delito</w:t>
      </w:r>
      <w:r w:rsidRPr="006829A9">
        <w:rPr>
          <w:rFonts w:ascii="Arial" w:eastAsia="Times New Roman" w:hAnsi="Arial" w:cs="Arial"/>
          <w:color w:val="000000"/>
          <w:sz w:val="20"/>
          <w:szCs w:val="20"/>
          <w:lang w:val="es-MX" w:eastAsia="es-BO"/>
        </w:rPr>
        <w:t> la práctica de un acto deshonesto. Acto inconstitucional, además, por violar el principio de legalidad penal y, particularmente, la exigencia de </w:t>
      </w:r>
      <w:r w:rsidRPr="006829A9">
        <w:rPr>
          <w:rFonts w:ascii="Arial" w:eastAsia="Times New Roman" w:hAnsi="Arial" w:cs="Arial"/>
          <w:i/>
          <w:iCs/>
          <w:color w:val="000000"/>
          <w:sz w:val="20"/>
          <w:szCs w:val="20"/>
          <w:lang w:val="es-MX" w:eastAsia="es-BO"/>
        </w:rPr>
        <w:t>lex certa</w:t>
      </w:r>
      <w:r w:rsidRPr="006829A9">
        <w:rPr>
          <w:rFonts w:ascii="Arial" w:eastAsia="Times New Roman" w:hAnsi="Arial" w:cs="Arial"/>
          <w:color w:val="000000"/>
          <w:sz w:val="20"/>
          <w:szCs w:val="20"/>
          <w:lang w:val="es-MX" w:eastAsia="es-BO"/>
        </w:rPr>
        <w:t>, pues con la expresión “acto deshonesto” no se precisa la conducta considerada como prohibida.</w:t>
      </w:r>
    </w:p>
    <w:p w:rsidR="00105BDB" w:rsidRPr="00D3322E" w:rsidRDefault="00105BDB" w:rsidP="00105BDB">
      <w:pPr>
        <w:shd w:val="clear" w:color="auto" w:fill="FFFFFF"/>
        <w:spacing w:after="0" w:line="240" w:lineRule="auto"/>
        <w:jc w:val="both"/>
        <w:rPr>
          <w:rFonts w:ascii="Arial" w:eastAsia="Times New Roman" w:hAnsi="Arial" w:cs="Arial"/>
          <w:color w:val="000000"/>
          <w:sz w:val="20"/>
          <w:szCs w:val="20"/>
          <w:lang w:val="es-ES_tradnl" w:eastAsia="es-BO"/>
        </w:rPr>
      </w:pPr>
      <w:r w:rsidRPr="006829A9">
        <w:rPr>
          <w:rFonts w:ascii="Arial" w:eastAsia="Times New Roman" w:hAnsi="Arial" w:cs="Arial"/>
          <w:color w:val="000000"/>
          <w:sz w:val="20"/>
          <w:szCs w:val="20"/>
          <w:lang w:val="es-MX" w:eastAsia="es-BO"/>
        </w:rPr>
        <w:t>e). En quinto lugar, es inconstitucional la fracción de disposición que señala que si el acto deshonesto es practicado por un miembro de la tropa, la sanción será la prisión. Inconstitucional porque, por un lado, frente a una conducta que no constituye un delito de función, se ha previsto la posibilidad de restringir la libertad individual de una persona; y, por otro, porque ella afecta el principio de legalidad de la pena, puesto que no contempla ni un mínimo ni un máximo de lapso temporal que pueda durar la prisión. </w:t>
      </w:r>
      <w:r w:rsidRPr="006829A9">
        <w:rPr>
          <w:rFonts w:ascii="Arial" w:eastAsia="Times New Roman" w:hAnsi="Arial" w:cs="Arial"/>
          <w:i/>
          <w:iCs/>
          <w:color w:val="000000"/>
          <w:sz w:val="20"/>
          <w:szCs w:val="20"/>
          <w:lang w:val="es-MX" w:eastAsia="es-BO"/>
        </w:rPr>
        <w:t>Mutatis mutandis</w:t>
      </w:r>
      <w:r w:rsidRPr="006829A9">
        <w:rPr>
          <w:rFonts w:ascii="Arial" w:eastAsia="Times New Roman" w:hAnsi="Arial" w:cs="Arial"/>
          <w:color w:val="000000"/>
          <w:sz w:val="20"/>
          <w:szCs w:val="20"/>
          <w:lang w:val="es-MX" w:eastAsia="es-BO"/>
        </w:rPr>
        <w:t>, este último criterio es extensivo al caso de la prisión que se pueda decretar </w:t>
      </w:r>
      <w:r w:rsidRPr="006829A9">
        <w:rPr>
          <w:rFonts w:ascii="Arial" w:eastAsia="Times New Roman" w:hAnsi="Arial" w:cs="Arial"/>
          <w:color w:val="000000"/>
          <w:sz w:val="20"/>
          <w:szCs w:val="20"/>
          <w:lang w:val="es-ES_tradnl" w:eastAsia="es-BO"/>
        </w:rPr>
        <w:t>cuando el sujeto activo sea un oficial de los institutos castrenses.</w:t>
      </w:r>
    </w:p>
    <w:p w:rsidR="00105BDB" w:rsidRDefault="00105BDB" w:rsidP="00105BDB">
      <w:pPr>
        <w:shd w:val="clear" w:color="auto" w:fill="FFFFFF"/>
        <w:spacing w:after="0" w:line="240" w:lineRule="auto"/>
        <w:jc w:val="both"/>
        <w:rPr>
          <w:rFonts w:ascii="Arial" w:eastAsia="Times New Roman" w:hAnsi="Arial" w:cs="Arial"/>
          <w:color w:val="000000"/>
          <w:sz w:val="20"/>
          <w:szCs w:val="20"/>
          <w:lang w:val="es-ES_tradnl" w:eastAsia="es-BO"/>
        </w:rPr>
      </w:pPr>
      <w:r w:rsidRPr="006829A9">
        <w:rPr>
          <w:rFonts w:ascii="Arial" w:eastAsia="Times New Roman" w:hAnsi="Arial" w:cs="Arial"/>
          <w:color w:val="000000"/>
          <w:sz w:val="20"/>
          <w:szCs w:val="20"/>
          <w:lang w:val="es-ES_tradnl" w:eastAsia="es-BO"/>
        </w:rPr>
        <w:t>g). Y, finalmente, es inconstitucional, por afectar el principio de igualdad, que se haya previsto que los actos sexuales contra natura, realizados en sede militar, sean considerados como faltas disciplinarias y/o delitos (según se trate de un oficial o miembro de la tropa), y no se haya previsto en iguales términos –en rigor, como un supuesto de falta disciplinaria-, la práctica, en general, de cualquier relación sexual en sede militar, no destinada a esos fines.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21" w:rsidRDefault="00812521" w:rsidP="00105BDB">
      <w:pPr>
        <w:spacing w:after="0" w:line="240" w:lineRule="auto"/>
      </w:pPr>
      <w:r>
        <w:separator/>
      </w:r>
    </w:p>
  </w:endnote>
  <w:endnote w:type="continuationSeparator" w:id="0">
    <w:p w:rsidR="00812521" w:rsidRDefault="00812521" w:rsidP="0010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21" w:rsidRDefault="00812521" w:rsidP="00105BDB">
      <w:pPr>
        <w:spacing w:after="0" w:line="240" w:lineRule="auto"/>
      </w:pPr>
      <w:r>
        <w:separator/>
      </w:r>
    </w:p>
  </w:footnote>
  <w:footnote w:type="continuationSeparator" w:id="0">
    <w:p w:rsidR="00812521" w:rsidRDefault="00812521" w:rsidP="00105BDB">
      <w:pPr>
        <w:spacing w:after="0" w:line="240" w:lineRule="auto"/>
      </w:pPr>
      <w:r>
        <w:continuationSeparator/>
      </w:r>
    </w:p>
  </w:footnote>
  <w:footnote w:id="1">
    <w:p w:rsidR="00105BDB" w:rsidRDefault="00105BDB" w:rsidP="00105BDB">
      <w:pPr>
        <w:pStyle w:val="Textonotapie"/>
      </w:pPr>
      <w:r>
        <w:rPr>
          <w:rStyle w:val="Refdenotaalpie"/>
        </w:rPr>
        <w:footnoteRef/>
      </w:r>
      <w:r>
        <w:t xml:space="preserve"> Anexo JU/FFAAPOL/PER/2 Para ver la </w:t>
      </w:r>
      <w:r w:rsidRPr="00711B4F">
        <w:t xml:space="preserve">norma in extenso, </w:t>
      </w:r>
      <w:r>
        <w:t xml:space="preserve">también puede utilizar el siguiente link </w:t>
      </w:r>
      <w:hyperlink r:id="rId1" w:history="1">
        <w:r w:rsidRPr="00600FBE">
          <w:rPr>
            <w:rStyle w:val="Hipervnculo"/>
          </w:rPr>
          <w:t>http://www.tc.gob.pe/jurisprudencia/2004/00023-2003-AI.html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DB"/>
    <w:rsid w:val="00105BDB"/>
    <w:rsid w:val="00683406"/>
    <w:rsid w:val="0081252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5BD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05BD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05BDB"/>
    <w:rPr>
      <w:sz w:val="20"/>
      <w:szCs w:val="20"/>
    </w:rPr>
  </w:style>
  <w:style w:type="character" w:styleId="Refdenotaalpie">
    <w:name w:val="footnote reference"/>
    <w:basedOn w:val="Fuentedeprrafopredeter"/>
    <w:uiPriority w:val="99"/>
    <w:unhideWhenUsed/>
    <w:rsid w:val="00105BDB"/>
    <w:rPr>
      <w:vertAlign w:val="superscript"/>
    </w:rPr>
  </w:style>
  <w:style w:type="paragraph" w:styleId="Textodeglobo">
    <w:name w:val="Balloon Text"/>
    <w:basedOn w:val="Normal"/>
    <w:link w:val="TextodegloboCar"/>
    <w:uiPriority w:val="99"/>
    <w:semiHidden/>
    <w:unhideWhenUsed/>
    <w:rsid w:val="00105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5BD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05BD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05BDB"/>
    <w:rPr>
      <w:sz w:val="20"/>
      <w:szCs w:val="20"/>
    </w:rPr>
  </w:style>
  <w:style w:type="character" w:styleId="Refdenotaalpie">
    <w:name w:val="footnote reference"/>
    <w:basedOn w:val="Fuentedeprrafopredeter"/>
    <w:uiPriority w:val="99"/>
    <w:unhideWhenUsed/>
    <w:rsid w:val="00105BDB"/>
    <w:rPr>
      <w:vertAlign w:val="superscript"/>
    </w:rPr>
  </w:style>
  <w:style w:type="paragraph" w:styleId="Textodeglobo">
    <w:name w:val="Balloon Text"/>
    <w:basedOn w:val="Normal"/>
    <w:link w:val="TextodegloboCar"/>
    <w:uiPriority w:val="99"/>
    <w:semiHidden/>
    <w:unhideWhenUsed/>
    <w:rsid w:val="00105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c.gob.pe/jurisprudencia/2004/00023-2003-A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2016-10-28T10:49:00Z</dcterms:created>
  <dcterms:modified xsi:type="dcterms:W3CDTF">2016-10-28T10:49:00Z</dcterms:modified>
</cp:coreProperties>
</file>